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0"/>
        <w:gridCol w:w="2460"/>
        <w:gridCol w:w="5820"/>
      </w:tblGrid>
      <w:tr w:rsidR="005D3AD5" w14:paraId="049F6354" w14:textId="77777777" w:rsidTr="00D03F92">
        <w:tc>
          <w:tcPr>
            <w:tcW w:w="1070" w:type="dxa"/>
          </w:tcPr>
          <w:p w14:paraId="725CD2F2" w14:textId="01FB4777" w:rsidR="005D3AD5" w:rsidRPr="00FE2B0B" w:rsidRDefault="0003378A" w:rsidP="005D3AD5">
            <w:pPr>
              <w:jc w:val="center"/>
              <w:rPr>
                <w:b/>
                <w:bCs/>
              </w:rPr>
            </w:pPr>
            <w:r>
              <w:rPr>
                <w:b/>
                <w:bCs/>
              </w:rPr>
              <w:t xml:space="preserve">Outside </w:t>
            </w:r>
            <w:r w:rsidR="005D3AD5" w:rsidRPr="00FE2B0B">
              <w:rPr>
                <w:b/>
                <w:bCs/>
              </w:rPr>
              <w:t>Section Number</w:t>
            </w:r>
          </w:p>
        </w:tc>
        <w:tc>
          <w:tcPr>
            <w:tcW w:w="2460" w:type="dxa"/>
          </w:tcPr>
          <w:p w14:paraId="6E157D1B" w14:textId="1BCF29C5" w:rsidR="005D3AD5" w:rsidRPr="00FE2B0B" w:rsidRDefault="005D3AD5" w:rsidP="005D3AD5">
            <w:pPr>
              <w:jc w:val="center"/>
              <w:rPr>
                <w:b/>
                <w:bCs/>
              </w:rPr>
            </w:pPr>
            <w:r w:rsidRPr="00FE2B0B">
              <w:rPr>
                <w:b/>
                <w:bCs/>
              </w:rPr>
              <w:t>Section Title</w:t>
            </w:r>
          </w:p>
        </w:tc>
        <w:tc>
          <w:tcPr>
            <w:tcW w:w="5820" w:type="dxa"/>
          </w:tcPr>
          <w:p w14:paraId="496D63ED" w14:textId="4362EDF6" w:rsidR="005D3AD5" w:rsidRPr="00FE2B0B" w:rsidRDefault="005D3AD5" w:rsidP="005D3AD5">
            <w:pPr>
              <w:jc w:val="center"/>
              <w:rPr>
                <w:b/>
                <w:bCs/>
              </w:rPr>
            </w:pPr>
            <w:r w:rsidRPr="00FE2B0B">
              <w:rPr>
                <w:b/>
                <w:bCs/>
              </w:rPr>
              <w:t>Summary</w:t>
            </w:r>
          </w:p>
        </w:tc>
      </w:tr>
      <w:tr w:rsidR="005D3AD5" w14:paraId="6B6C4B73" w14:textId="77777777" w:rsidTr="00D03F92">
        <w:tc>
          <w:tcPr>
            <w:tcW w:w="1070" w:type="dxa"/>
          </w:tcPr>
          <w:p w14:paraId="0D566F1F" w14:textId="5CFDBFD5" w:rsidR="005D3AD5" w:rsidRDefault="005D3AD5" w:rsidP="005D3AD5">
            <w:pPr>
              <w:jc w:val="center"/>
            </w:pPr>
            <w:r w:rsidRPr="00572EFA">
              <w:t>6</w:t>
            </w:r>
          </w:p>
        </w:tc>
        <w:tc>
          <w:tcPr>
            <w:tcW w:w="2460" w:type="dxa"/>
          </w:tcPr>
          <w:p w14:paraId="47F1C18B" w14:textId="758227A1" w:rsidR="005D3AD5" w:rsidRDefault="005D3AD5" w:rsidP="005D3AD5">
            <w:pPr>
              <w:jc w:val="center"/>
            </w:pPr>
            <w:r w:rsidRPr="003A4732">
              <w:t>MassDOT TOD 1</w:t>
            </w:r>
          </w:p>
        </w:tc>
        <w:tc>
          <w:tcPr>
            <w:tcW w:w="5820" w:type="dxa"/>
            <w:vMerge w:val="restart"/>
          </w:tcPr>
          <w:p w14:paraId="209ABDB3" w14:textId="0BA680B2" w:rsidR="005D3AD5" w:rsidRDefault="005D3AD5" w:rsidP="005D3AD5">
            <w:pPr>
              <w:jc w:val="center"/>
            </w:pPr>
            <w:r w:rsidRPr="00203FD3">
              <w:t xml:space="preserve">Amends the MassDOT statute to authorize MassDOT in any sale or lease of real property, buildings, </w:t>
            </w:r>
            <w:proofErr w:type="gramStart"/>
            <w:r w:rsidRPr="00203FD3">
              <w:t>structure</w:t>
            </w:r>
            <w:proofErr w:type="gramEnd"/>
            <w:r w:rsidRPr="00203FD3">
              <w:t xml:space="preserve"> or lease of air rights, to require that a developer construct, design, build, finance, operate, or maintain (or any combination of these activities) any related facility or component controlled by MassDOT without any additional procurement or advertising requirements.</w:t>
            </w:r>
          </w:p>
        </w:tc>
      </w:tr>
      <w:tr w:rsidR="005D3AD5" w14:paraId="3A04348A" w14:textId="77777777" w:rsidTr="00D03F92">
        <w:tc>
          <w:tcPr>
            <w:tcW w:w="1070" w:type="dxa"/>
          </w:tcPr>
          <w:p w14:paraId="3497694C" w14:textId="0DB545BE" w:rsidR="005D3AD5" w:rsidRDefault="005D3AD5" w:rsidP="005D3AD5">
            <w:pPr>
              <w:jc w:val="center"/>
            </w:pPr>
            <w:r w:rsidRPr="00572EFA">
              <w:t>7</w:t>
            </w:r>
          </w:p>
        </w:tc>
        <w:tc>
          <w:tcPr>
            <w:tcW w:w="2460" w:type="dxa"/>
          </w:tcPr>
          <w:p w14:paraId="2FAF5F74" w14:textId="1D374D1E" w:rsidR="005D3AD5" w:rsidRDefault="005D3AD5" w:rsidP="005D3AD5">
            <w:pPr>
              <w:jc w:val="center"/>
            </w:pPr>
            <w:r w:rsidRPr="003A4732">
              <w:t>MassDOT TOD 2</w:t>
            </w:r>
          </w:p>
        </w:tc>
        <w:tc>
          <w:tcPr>
            <w:tcW w:w="5820" w:type="dxa"/>
            <w:vMerge/>
          </w:tcPr>
          <w:p w14:paraId="75EDAC9F" w14:textId="547A848E" w:rsidR="005D3AD5" w:rsidRDefault="005D3AD5" w:rsidP="005D3AD5">
            <w:pPr>
              <w:jc w:val="center"/>
            </w:pPr>
          </w:p>
        </w:tc>
      </w:tr>
      <w:tr w:rsidR="005D3AD5" w14:paraId="65BE5F80" w14:textId="77777777" w:rsidTr="00D03F92">
        <w:tc>
          <w:tcPr>
            <w:tcW w:w="1070" w:type="dxa"/>
          </w:tcPr>
          <w:p w14:paraId="4E6077CF" w14:textId="7E414B0F" w:rsidR="005D3AD5" w:rsidRDefault="005D3AD5" w:rsidP="005D3AD5">
            <w:pPr>
              <w:jc w:val="center"/>
            </w:pPr>
            <w:r w:rsidRPr="00572EFA">
              <w:t>8</w:t>
            </w:r>
          </w:p>
        </w:tc>
        <w:tc>
          <w:tcPr>
            <w:tcW w:w="2460" w:type="dxa"/>
          </w:tcPr>
          <w:p w14:paraId="65E12CB2" w14:textId="6D9634AA" w:rsidR="005D3AD5" w:rsidRDefault="005D3AD5" w:rsidP="005D3AD5">
            <w:pPr>
              <w:jc w:val="center"/>
            </w:pPr>
            <w:r w:rsidRPr="003A4732">
              <w:t>Statewide Housing Plan</w:t>
            </w:r>
          </w:p>
        </w:tc>
        <w:tc>
          <w:tcPr>
            <w:tcW w:w="5820" w:type="dxa"/>
          </w:tcPr>
          <w:p w14:paraId="0A7C831B" w14:textId="652F20EF" w:rsidR="005D3AD5" w:rsidRDefault="005D3AD5" w:rsidP="005D3AD5">
            <w:pPr>
              <w:jc w:val="center"/>
            </w:pPr>
            <w:r w:rsidRPr="00203FD3">
              <w:t>Amends EOHLC's enabling statute to require EOHLC to develop a comprehensive housing plan for the Commonwealth every five years.</w:t>
            </w:r>
          </w:p>
        </w:tc>
      </w:tr>
      <w:tr w:rsidR="005D3AD5" w14:paraId="3A5799AF" w14:textId="77777777" w:rsidTr="00D03F92">
        <w:tc>
          <w:tcPr>
            <w:tcW w:w="1070" w:type="dxa"/>
          </w:tcPr>
          <w:p w14:paraId="53629049" w14:textId="29E971C4" w:rsidR="005D3AD5" w:rsidRDefault="005D3AD5" w:rsidP="005D3AD5">
            <w:pPr>
              <w:jc w:val="center"/>
            </w:pPr>
            <w:r w:rsidRPr="00572EFA">
              <w:t>9</w:t>
            </w:r>
          </w:p>
        </w:tc>
        <w:tc>
          <w:tcPr>
            <w:tcW w:w="2460" w:type="dxa"/>
          </w:tcPr>
          <w:p w14:paraId="074611BF" w14:textId="366F4383" w:rsidR="005D3AD5" w:rsidRDefault="005D3AD5" w:rsidP="005D3AD5">
            <w:pPr>
              <w:jc w:val="center"/>
            </w:pPr>
            <w:r w:rsidRPr="003A4732">
              <w:t>HWIP 1</w:t>
            </w:r>
          </w:p>
        </w:tc>
        <w:tc>
          <w:tcPr>
            <w:tcW w:w="5820" w:type="dxa"/>
          </w:tcPr>
          <w:p w14:paraId="26237BF8" w14:textId="64BFA4FB" w:rsidR="005D3AD5" w:rsidRDefault="005D3AD5" w:rsidP="005D3AD5">
            <w:pPr>
              <w:jc w:val="center"/>
            </w:pPr>
            <w:r w:rsidRPr="00203FD3">
              <w:t>Amends the HousingWorks Infrastructure Program to align funding with housing purposes.</w:t>
            </w:r>
          </w:p>
        </w:tc>
      </w:tr>
      <w:tr w:rsidR="005D3AD5" w14:paraId="0E900979" w14:textId="77777777" w:rsidTr="00D03F92">
        <w:tc>
          <w:tcPr>
            <w:tcW w:w="1070" w:type="dxa"/>
          </w:tcPr>
          <w:p w14:paraId="4DAF9814" w14:textId="7BBE34A8" w:rsidR="005D3AD5" w:rsidRDefault="005D3AD5" w:rsidP="005D3AD5">
            <w:pPr>
              <w:jc w:val="center"/>
            </w:pPr>
            <w:r w:rsidRPr="00572EFA">
              <w:t>10</w:t>
            </w:r>
          </w:p>
        </w:tc>
        <w:tc>
          <w:tcPr>
            <w:tcW w:w="2460" w:type="dxa"/>
          </w:tcPr>
          <w:p w14:paraId="646A185F" w14:textId="657DC5D7" w:rsidR="005D3AD5" w:rsidRDefault="005D3AD5" w:rsidP="005D3AD5">
            <w:pPr>
              <w:jc w:val="center"/>
            </w:pPr>
            <w:r w:rsidRPr="003A4732">
              <w:t>Office of Fair Housing 1</w:t>
            </w:r>
          </w:p>
        </w:tc>
        <w:tc>
          <w:tcPr>
            <w:tcW w:w="5820" w:type="dxa"/>
          </w:tcPr>
          <w:p w14:paraId="5535DDEF" w14:textId="5C0F6C3B" w:rsidR="005D3AD5" w:rsidRDefault="005D3AD5" w:rsidP="005D3AD5">
            <w:pPr>
              <w:jc w:val="center"/>
            </w:pPr>
            <w:r w:rsidRPr="00203FD3">
              <w:t>Establishes an Office of Fair Housing within EOHLC to collaborate with state agencies on policies and actions to advance and eliminate housing discrimination and affirmatively further fair housing.</w:t>
            </w:r>
          </w:p>
        </w:tc>
      </w:tr>
      <w:tr w:rsidR="005D3AD5" w14:paraId="31F872DE" w14:textId="77777777" w:rsidTr="00D03F92">
        <w:tc>
          <w:tcPr>
            <w:tcW w:w="1070" w:type="dxa"/>
          </w:tcPr>
          <w:p w14:paraId="46C80CCC" w14:textId="4AF703AC" w:rsidR="005D3AD5" w:rsidRDefault="005D3AD5" w:rsidP="005D3AD5">
            <w:pPr>
              <w:jc w:val="center"/>
            </w:pPr>
            <w:r w:rsidRPr="00572EFA">
              <w:t>10</w:t>
            </w:r>
          </w:p>
        </w:tc>
        <w:tc>
          <w:tcPr>
            <w:tcW w:w="2460" w:type="dxa"/>
          </w:tcPr>
          <w:p w14:paraId="039FBD8A" w14:textId="251BAD5D" w:rsidR="005D3AD5" w:rsidRDefault="005D3AD5" w:rsidP="005D3AD5">
            <w:pPr>
              <w:jc w:val="center"/>
            </w:pPr>
            <w:r w:rsidRPr="003A4732">
              <w:t>Seasonal Communities</w:t>
            </w:r>
          </w:p>
        </w:tc>
        <w:tc>
          <w:tcPr>
            <w:tcW w:w="5820" w:type="dxa"/>
          </w:tcPr>
          <w:p w14:paraId="2236F8ED" w14:textId="22F363CE" w:rsidR="005D3AD5" w:rsidRDefault="005D3AD5" w:rsidP="005D3AD5">
            <w:pPr>
              <w:jc w:val="center"/>
            </w:pPr>
            <w:r w:rsidRPr="00203FD3">
              <w:t>Establishes a seasonal communit</w:t>
            </w:r>
            <w:r w:rsidR="00DA6CA4">
              <w:t>y</w:t>
            </w:r>
            <w:r w:rsidRPr="00203FD3">
              <w:t xml:space="preserve"> designation and a local option property tax exemption for property taxpayers in seasonal communities that rent their property </w:t>
            </w:r>
            <w:proofErr w:type="gramStart"/>
            <w:r w:rsidRPr="00203FD3">
              <w:t>year round</w:t>
            </w:r>
            <w:proofErr w:type="gramEnd"/>
            <w:r w:rsidRPr="00203FD3">
              <w:t xml:space="preserve"> for an amount that does not exceed 150% of the fair market rent.</w:t>
            </w:r>
          </w:p>
        </w:tc>
      </w:tr>
      <w:tr w:rsidR="005D3AD5" w14:paraId="09DDA983" w14:textId="77777777" w:rsidTr="00D03F92">
        <w:tc>
          <w:tcPr>
            <w:tcW w:w="1070" w:type="dxa"/>
          </w:tcPr>
          <w:p w14:paraId="235B6F2A" w14:textId="0154B408" w:rsidR="005D3AD5" w:rsidRDefault="005D3AD5" w:rsidP="005D3AD5">
            <w:pPr>
              <w:jc w:val="center"/>
            </w:pPr>
            <w:r w:rsidRPr="00572EFA">
              <w:t>11</w:t>
            </w:r>
          </w:p>
        </w:tc>
        <w:tc>
          <w:tcPr>
            <w:tcW w:w="2460" w:type="dxa"/>
          </w:tcPr>
          <w:p w14:paraId="05C460CC" w14:textId="31D67D9C" w:rsidR="005D3AD5" w:rsidRDefault="005D3AD5" w:rsidP="005D3AD5">
            <w:pPr>
              <w:jc w:val="center"/>
            </w:pPr>
            <w:r w:rsidRPr="003A4732">
              <w:t>Office of Fair Housing 2</w:t>
            </w:r>
          </w:p>
        </w:tc>
        <w:tc>
          <w:tcPr>
            <w:tcW w:w="5820" w:type="dxa"/>
          </w:tcPr>
          <w:p w14:paraId="59C230F9" w14:textId="430EF9CC" w:rsidR="005D3AD5" w:rsidRDefault="005D3AD5" w:rsidP="005D3AD5">
            <w:pPr>
              <w:jc w:val="center"/>
            </w:pPr>
            <w:r w:rsidRPr="00203FD3">
              <w:t>Establishes a trust fund for the activities of the Office of Fair Housing.</w:t>
            </w:r>
          </w:p>
        </w:tc>
      </w:tr>
      <w:tr w:rsidR="005D3AD5" w14:paraId="285EA2A7" w14:textId="77777777" w:rsidTr="00D03F92">
        <w:tc>
          <w:tcPr>
            <w:tcW w:w="1070" w:type="dxa"/>
          </w:tcPr>
          <w:p w14:paraId="17BCAD08" w14:textId="298B4284" w:rsidR="005D3AD5" w:rsidRDefault="005D3AD5" w:rsidP="005D3AD5">
            <w:pPr>
              <w:jc w:val="center"/>
            </w:pPr>
            <w:r w:rsidRPr="00572EFA">
              <w:t>12</w:t>
            </w:r>
          </w:p>
        </w:tc>
        <w:tc>
          <w:tcPr>
            <w:tcW w:w="2460" w:type="dxa"/>
          </w:tcPr>
          <w:p w14:paraId="3C46C65A" w14:textId="0C9DA5B0" w:rsidR="005D3AD5" w:rsidRDefault="005D3AD5" w:rsidP="005D3AD5">
            <w:pPr>
              <w:jc w:val="center"/>
            </w:pPr>
            <w:r w:rsidRPr="003A4732">
              <w:t>ADUs As of Right 1</w:t>
            </w:r>
          </w:p>
        </w:tc>
        <w:tc>
          <w:tcPr>
            <w:tcW w:w="5820" w:type="dxa"/>
          </w:tcPr>
          <w:p w14:paraId="02343840" w14:textId="52367135" w:rsidR="005D3AD5" w:rsidRDefault="005D3AD5" w:rsidP="005D3AD5">
            <w:pPr>
              <w:jc w:val="center"/>
            </w:pPr>
            <w:r w:rsidRPr="00203FD3">
              <w:t>Amends the definition of Accessory Dwelling Units under the Zoning Act to: (</w:t>
            </w:r>
            <w:proofErr w:type="spellStart"/>
            <w:r w:rsidRPr="00203FD3">
              <w:t>i</w:t>
            </w:r>
            <w:proofErr w:type="spellEnd"/>
            <w:r w:rsidRPr="00203FD3">
              <w:t>) clarify that size requirements are based on gross square footage, (ii) remove owner-occupancy requirements</w:t>
            </w:r>
            <w:r w:rsidR="00655C01">
              <w:t>,</w:t>
            </w:r>
            <w:r w:rsidRPr="00203FD3">
              <w:t xml:space="preserve"> and (iii) cross-reference to the definition of short-term rentals in the General Laws.</w:t>
            </w:r>
          </w:p>
        </w:tc>
      </w:tr>
      <w:tr w:rsidR="005D3AD5" w14:paraId="0520239F" w14:textId="77777777" w:rsidTr="00D03F92">
        <w:tc>
          <w:tcPr>
            <w:tcW w:w="1070" w:type="dxa"/>
          </w:tcPr>
          <w:p w14:paraId="5192AB60" w14:textId="5E8390DA" w:rsidR="005D3AD5" w:rsidRDefault="005D3AD5" w:rsidP="005D3AD5">
            <w:pPr>
              <w:jc w:val="center"/>
            </w:pPr>
            <w:r w:rsidRPr="00572EFA">
              <w:t>13</w:t>
            </w:r>
          </w:p>
        </w:tc>
        <w:tc>
          <w:tcPr>
            <w:tcW w:w="2460" w:type="dxa"/>
          </w:tcPr>
          <w:p w14:paraId="02C55007" w14:textId="16EA0684" w:rsidR="005D3AD5" w:rsidRDefault="005D3AD5" w:rsidP="005D3AD5">
            <w:pPr>
              <w:jc w:val="center"/>
            </w:pPr>
            <w:r w:rsidRPr="003A4732">
              <w:t>ADUs As of Right 2</w:t>
            </w:r>
          </w:p>
        </w:tc>
        <w:tc>
          <w:tcPr>
            <w:tcW w:w="5820" w:type="dxa"/>
          </w:tcPr>
          <w:p w14:paraId="669BE153" w14:textId="6A04FD5E" w:rsidR="005D3AD5" w:rsidRDefault="005D3AD5" w:rsidP="005D3AD5">
            <w:pPr>
              <w:jc w:val="center"/>
            </w:pPr>
            <w:r w:rsidRPr="00203FD3">
              <w:t>Amends the Zoning Act to allow Accessory Dwelling Units as-of-right in single-family zoning districts.</w:t>
            </w:r>
          </w:p>
        </w:tc>
      </w:tr>
      <w:tr w:rsidR="005D3AD5" w14:paraId="398FC345" w14:textId="77777777" w:rsidTr="00D03F92">
        <w:tc>
          <w:tcPr>
            <w:tcW w:w="1070" w:type="dxa"/>
          </w:tcPr>
          <w:p w14:paraId="3D03358C" w14:textId="7858EACC" w:rsidR="005D3AD5" w:rsidRDefault="005D3AD5" w:rsidP="005D3AD5">
            <w:pPr>
              <w:jc w:val="center"/>
            </w:pPr>
            <w:r w:rsidRPr="00572EFA">
              <w:t>14</w:t>
            </w:r>
          </w:p>
        </w:tc>
        <w:tc>
          <w:tcPr>
            <w:tcW w:w="2460" w:type="dxa"/>
          </w:tcPr>
          <w:p w14:paraId="3F2A0AD6" w14:textId="2B08A48F" w:rsidR="005D3AD5" w:rsidRDefault="005D3AD5" w:rsidP="005D3AD5">
            <w:pPr>
              <w:jc w:val="center"/>
            </w:pPr>
            <w:r w:rsidRPr="003A4732">
              <w:t>HWIP 2</w:t>
            </w:r>
          </w:p>
        </w:tc>
        <w:tc>
          <w:tcPr>
            <w:tcW w:w="5820" w:type="dxa"/>
          </w:tcPr>
          <w:p w14:paraId="4AEE7873" w14:textId="5C78DBC2" w:rsidR="005D3AD5" w:rsidRDefault="005D3AD5" w:rsidP="005D3AD5">
            <w:pPr>
              <w:jc w:val="center"/>
            </w:pPr>
            <w:r w:rsidRPr="00203FD3">
              <w:t>Technical amendment to correct an incorrect cross-reference to the HousingWorks Infrastructure Program.</w:t>
            </w:r>
          </w:p>
        </w:tc>
      </w:tr>
      <w:tr w:rsidR="005D3AD5" w14:paraId="3BCEC055" w14:textId="77777777" w:rsidTr="00D03F92">
        <w:tc>
          <w:tcPr>
            <w:tcW w:w="1070" w:type="dxa"/>
          </w:tcPr>
          <w:p w14:paraId="5B4312B2" w14:textId="06349657" w:rsidR="005D3AD5" w:rsidRDefault="005D3AD5" w:rsidP="005D3AD5">
            <w:pPr>
              <w:jc w:val="center"/>
            </w:pPr>
            <w:r w:rsidRPr="00572EFA">
              <w:t>15</w:t>
            </w:r>
          </w:p>
        </w:tc>
        <w:tc>
          <w:tcPr>
            <w:tcW w:w="2460" w:type="dxa"/>
          </w:tcPr>
          <w:p w14:paraId="37310E55" w14:textId="059DDB0B" w:rsidR="005D3AD5" w:rsidRDefault="005D3AD5" w:rsidP="005D3AD5">
            <w:pPr>
              <w:jc w:val="center"/>
            </w:pPr>
            <w:r w:rsidRPr="003A4732">
              <w:t>Inclusionary Zoning Simple Majority</w:t>
            </w:r>
          </w:p>
        </w:tc>
        <w:tc>
          <w:tcPr>
            <w:tcW w:w="5820" w:type="dxa"/>
          </w:tcPr>
          <w:p w14:paraId="6FFF9A48" w14:textId="6CC7644C" w:rsidR="005D3AD5" w:rsidRDefault="005D3AD5" w:rsidP="005D3AD5">
            <w:pPr>
              <w:jc w:val="center"/>
            </w:pPr>
            <w:r w:rsidRPr="00203FD3">
              <w:t>Amends the Zoning Act to reduce the voting threshold to adopt an inclusionary zoning ordinance or bylaw from a 2/3 majority to a simple majority.</w:t>
            </w:r>
          </w:p>
        </w:tc>
      </w:tr>
      <w:tr w:rsidR="005D3AD5" w14:paraId="5AB1B05D" w14:textId="77777777" w:rsidTr="00D03F92">
        <w:tc>
          <w:tcPr>
            <w:tcW w:w="1070" w:type="dxa"/>
          </w:tcPr>
          <w:p w14:paraId="05B5403E" w14:textId="2A782F65" w:rsidR="005D3AD5" w:rsidRDefault="005D3AD5" w:rsidP="005D3AD5">
            <w:pPr>
              <w:jc w:val="center"/>
            </w:pPr>
            <w:r w:rsidRPr="00572EFA">
              <w:t>16</w:t>
            </w:r>
          </w:p>
        </w:tc>
        <w:tc>
          <w:tcPr>
            <w:tcW w:w="2460" w:type="dxa"/>
          </w:tcPr>
          <w:p w14:paraId="156E4951" w14:textId="13E8E75A" w:rsidR="005D3AD5" w:rsidRDefault="005D3AD5" w:rsidP="005D3AD5">
            <w:pPr>
              <w:jc w:val="center"/>
            </w:pPr>
            <w:r w:rsidRPr="003A4732">
              <w:t>CEDAC 1</w:t>
            </w:r>
          </w:p>
        </w:tc>
        <w:tc>
          <w:tcPr>
            <w:tcW w:w="5820" w:type="dxa"/>
          </w:tcPr>
          <w:p w14:paraId="42FF6425" w14:textId="16F71BCD" w:rsidR="005D3AD5" w:rsidRDefault="005D3AD5" w:rsidP="005D3AD5">
            <w:pPr>
              <w:jc w:val="center"/>
            </w:pPr>
            <w:r w:rsidRPr="00203FD3">
              <w:t>Amends CEDAC's enabling act to place CEDAC under EOHLC oversight rather than EOED.</w:t>
            </w:r>
          </w:p>
        </w:tc>
      </w:tr>
      <w:tr w:rsidR="005D3AD5" w14:paraId="253A2D50" w14:textId="77777777" w:rsidTr="00D03F92">
        <w:tc>
          <w:tcPr>
            <w:tcW w:w="1070" w:type="dxa"/>
          </w:tcPr>
          <w:p w14:paraId="6DC7C037" w14:textId="5FBEFA79" w:rsidR="005D3AD5" w:rsidRDefault="005D3AD5" w:rsidP="005D3AD5">
            <w:pPr>
              <w:jc w:val="center"/>
            </w:pPr>
            <w:r w:rsidRPr="00572EFA">
              <w:t>17</w:t>
            </w:r>
          </w:p>
        </w:tc>
        <w:tc>
          <w:tcPr>
            <w:tcW w:w="2460" w:type="dxa"/>
          </w:tcPr>
          <w:p w14:paraId="2325F56B" w14:textId="69001D91" w:rsidR="005D3AD5" w:rsidRDefault="005D3AD5" w:rsidP="005D3AD5">
            <w:pPr>
              <w:jc w:val="center"/>
            </w:pPr>
            <w:r w:rsidRPr="003A4732">
              <w:t>CEDAC 2</w:t>
            </w:r>
          </w:p>
        </w:tc>
        <w:tc>
          <w:tcPr>
            <w:tcW w:w="5820" w:type="dxa"/>
          </w:tcPr>
          <w:p w14:paraId="0244D208" w14:textId="6EDA0278" w:rsidR="005D3AD5" w:rsidRDefault="005D3AD5" w:rsidP="005D3AD5">
            <w:pPr>
              <w:jc w:val="center"/>
            </w:pPr>
            <w:r w:rsidRPr="00203FD3">
              <w:t>Amends CEDAC's enabling act to relieve CEDAC from EOED performance management system reporting requirements.</w:t>
            </w:r>
          </w:p>
        </w:tc>
      </w:tr>
      <w:tr w:rsidR="005D3AD5" w14:paraId="0A3BBB04" w14:textId="77777777" w:rsidTr="00D03F92">
        <w:tc>
          <w:tcPr>
            <w:tcW w:w="1070" w:type="dxa"/>
          </w:tcPr>
          <w:p w14:paraId="43E91694" w14:textId="3C9BEA6B" w:rsidR="005D3AD5" w:rsidRDefault="005D3AD5" w:rsidP="005D3AD5">
            <w:pPr>
              <w:jc w:val="center"/>
            </w:pPr>
            <w:r w:rsidRPr="00572EFA">
              <w:t>18</w:t>
            </w:r>
          </w:p>
        </w:tc>
        <w:tc>
          <w:tcPr>
            <w:tcW w:w="2460" w:type="dxa"/>
          </w:tcPr>
          <w:p w14:paraId="6014054E" w14:textId="447B3485" w:rsidR="005D3AD5" w:rsidRDefault="005D3AD5" w:rsidP="005D3AD5">
            <w:pPr>
              <w:jc w:val="center"/>
            </w:pPr>
            <w:r w:rsidRPr="003A4732">
              <w:t>Real Estate Transfer Fee 1</w:t>
            </w:r>
          </w:p>
        </w:tc>
        <w:tc>
          <w:tcPr>
            <w:tcW w:w="5820" w:type="dxa"/>
          </w:tcPr>
          <w:p w14:paraId="7B1C5D7F" w14:textId="3C9DB80B" w:rsidR="005D3AD5" w:rsidRDefault="005D3AD5" w:rsidP="005D3AD5">
            <w:pPr>
              <w:jc w:val="center"/>
            </w:pPr>
            <w:r w:rsidRPr="00203FD3">
              <w:t>Amends the Municipal Affordable Housing Trust Fund statute to include uses allowed to be funded with revenue collected from a Real Estate Transfer Fee.</w:t>
            </w:r>
          </w:p>
        </w:tc>
      </w:tr>
      <w:tr w:rsidR="005D3AD5" w14:paraId="56D5D3F7" w14:textId="77777777" w:rsidTr="00D03F92">
        <w:tc>
          <w:tcPr>
            <w:tcW w:w="1070" w:type="dxa"/>
          </w:tcPr>
          <w:p w14:paraId="30822EE5" w14:textId="447CEB61" w:rsidR="005D3AD5" w:rsidRDefault="005D3AD5" w:rsidP="005D3AD5">
            <w:pPr>
              <w:jc w:val="center"/>
            </w:pPr>
            <w:r w:rsidRPr="00572EFA">
              <w:lastRenderedPageBreak/>
              <w:t>19</w:t>
            </w:r>
          </w:p>
        </w:tc>
        <w:tc>
          <w:tcPr>
            <w:tcW w:w="2460" w:type="dxa"/>
          </w:tcPr>
          <w:p w14:paraId="0D4DC1A4" w14:textId="459A9AEC" w:rsidR="005D3AD5" w:rsidRDefault="005D3AD5" w:rsidP="005D3AD5">
            <w:pPr>
              <w:jc w:val="center"/>
            </w:pPr>
            <w:r w:rsidRPr="003A4732">
              <w:t>Real Estate Transfer Fee 2</w:t>
            </w:r>
          </w:p>
        </w:tc>
        <w:tc>
          <w:tcPr>
            <w:tcW w:w="5820" w:type="dxa"/>
          </w:tcPr>
          <w:p w14:paraId="7B0A57C3" w14:textId="09AA60FB" w:rsidR="005D3AD5" w:rsidRDefault="005D3AD5" w:rsidP="005D3AD5">
            <w:pPr>
              <w:jc w:val="center"/>
            </w:pPr>
            <w:r w:rsidRPr="00203FD3">
              <w:t>Amends the Municipal Affordable Housing Trust Fund statute to clarify that revenue received from a Transfer Fee is not subject to further appropriation.</w:t>
            </w:r>
          </w:p>
        </w:tc>
      </w:tr>
      <w:tr w:rsidR="005D3AD5" w14:paraId="1C0EA1B8" w14:textId="77777777" w:rsidTr="00D03F92">
        <w:tc>
          <w:tcPr>
            <w:tcW w:w="1070" w:type="dxa"/>
          </w:tcPr>
          <w:p w14:paraId="64319BF2" w14:textId="075EC048" w:rsidR="005D3AD5" w:rsidRDefault="005D3AD5" w:rsidP="005D3AD5">
            <w:pPr>
              <w:jc w:val="center"/>
            </w:pPr>
            <w:r w:rsidRPr="00572EFA">
              <w:t>20</w:t>
            </w:r>
          </w:p>
        </w:tc>
        <w:tc>
          <w:tcPr>
            <w:tcW w:w="2460" w:type="dxa"/>
          </w:tcPr>
          <w:p w14:paraId="5E387E5C" w14:textId="573629F2" w:rsidR="005D3AD5" w:rsidRDefault="005D3AD5" w:rsidP="005D3AD5">
            <w:pPr>
              <w:jc w:val="center"/>
            </w:pPr>
            <w:r w:rsidRPr="003A4732">
              <w:t>Real Estate Transfer Fee 3</w:t>
            </w:r>
          </w:p>
        </w:tc>
        <w:tc>
          <w:tcPr>
            <w:tcW w:w="5820" w:type="dxa"/>
          </w:tcPr>
          <w:p w14:paraId="38547B65" w14:textId="427C5B8B" w:rsidR="005D3AD5" w:rsidRDefault="005D3AD5" w:rsidP="005D3AD5">
            <w:pPr>
              <w:jc w:val="center"/>
            </w:pPr>
            <w:r w:rsidRPr="00203FD3">
              <w:t>Establishes a local option real estate transfer fee of 0.5% - 2% paid by the seller of property on the portion of the sale over $1 million, or the county median home sales price, whichever is greater. Revenue raised through a real estate transfer fee would be required to be used for affordable housing purposes, including for public housing, through a community’s municipal affordable housing trust fund</w:t>
            </w:r>
          </w:p>
        </w:tc>
      </w:tr>
      <w:tr w:rsidR="005D3AD5" w14:paraId="00099B23" w14:textId="77777777" w:rsidTr="00D03F92">
        <w:tc>
          <w:tcPr>
            <w:tcW w:w="1070" w:type="dxa"/>
          </w:tcPr>
          <w:p w14:paraId="785EC304" w14:textId="59034E0A" w:rsidR="005D3AD5" w:rsidRDefault="005D3AD5" w:rsidP="005D3AD5">
            <w:pPr>
              <w:jc w:val="center"/>
            </w:pPr>
            <w:r w:rsidRPr="00572EFA">
              <w:t>21</w:t>
            </w:r>
          </w:p>
        </w:tc>
        <w:tc>
          <w:tcPr>
            <w:tcW w:w="2460" w:type="dxa"/>
          </w:tcPr>
          <w:p w14:paraId="666C72FA" w14:textId="53F41D6D" w:rsidR="005D3AD5" w:rsidRDefault="005D3AD5" w:rsidP="005D3AD5">
            <w:pPr>
              <w:jc w:val="center"/>
            </w:pPr>
            <w:r w:rsidRPr="003A4732">
              <w:t>CITC 1</w:t>
            </w:r>
          </w:p>
        </w:tc>
        <w:tc>
          <w:tcPr>
            <w:tcW w:w="5820" w:type="dxa"/>
          </w:tcPr>
          <w:p w14:paraId="6983CAD7" w14:textId="68572EA2" w:rsidR="005D3AD5" w:rsidRDefault="005D3AD5" w:rsidP="005D3AD5">
            <w:pPr>
              <w:jc w:val="center"/>
            </w:pPr>
            <w:r w:rsidRPr="00203FD3">
              <w:t>Increases the Community Investment Tax Credit by $3M and repeals the credit's 2025 sunset date.</w:t>
            </w:r>
          </w:p>
        </w:tc>
      </w:tr>
      <w:tr w:rsidR="005D3AD5" w14:paraId="299633AB" w14:textId="77777777" w:rsidTr="00D03F92">
        <w:tc>
          <w:tcPr>
            <w:tcW w:w="1070" w:type="dxa"/>
          </w:tcPr>
          <w:p w14:paraId="0B9138F4" w14:textId="6ED5C533" w:rsidR="005D3AD5" w:rsidRDefault="005D3AD5" w:rsidP="005D3AD5">
            <w:pPr>
              <w:jc w:val="center"/>
            </w:pPr>
            <w:r w:rsidRPr="00572EFA">
              <w:t>22</w:t>
            </w:r>
          </w:p>
        </w:tc>
        <w:tc>
          <w:tcPr>
            <w:tcW w:w="2460" w:type="dxa"/>
          </w:tcPr>
          <w:p w14:paraId="5D4294B3" w14:textId="5719C9BE" w:rsidR="005D3AD5" w:rsidRDefault="005D3AD5" w:rsidP="005D3AD5">
            <w:pPr>
              <w:jc w:val="center"/>
            </w:pPr>
            <w:r w:rsidRPr="003A4732">
              <w:t>HOTC 1</w:t>
            </w:r>
          </w:p>
        </w:tc>
        <w:tc>
          <w:tcPr>
            <w:tcW w:w="5820" w:type="dxa"/>
          </w:tcPr>
          <w:p w14:paraId="5E4F7707" w14:textId="5FE7E7CC" w:rsidR="005D3AD5" w:rsidRDefault="005D3AD5" w:rsidP="005D3AD5">
            <w:pPr>
              <w:jc w:val="center"/>
            </w:pPr>
            <w:r w:rsidRPr="00203FD3">
              <w:t>Establishes a tax credit to support the production of affordable homeownership units affordable to households earning not more than 120% AMI.</w:t>
            </w:r>
          </w:p>
        </w:tc>
      </w:tr>
      <w:tr w:rsidR="005D3AD5" w14:paraId="59E15ABE" w14:textId="77777777" w:rsidTr="00D03F92">
        <w:tc>
          <w:tcPr>
            <w:tcW w:w="1070" w:type="dxa"/>
          </w:tcPr>
          <w:p w14:paraId="0248DEB9" w14:textId="19FB2121" w:rsidR="005D3AD5" w:rsidRDefault="005D3AD5" w:rsidP="005D3AD5">
            <w:pPr>
              <w:jc w:val="center"/>
            </w:pPr>
            <w:r w:rsidRPr="00572EFA">
              <w:t>23</w:t>
            </w:r>
          </w:p>
        </w:tc>
        <w:tc>
          <w:tcPr>
            <w:tcW w:w="2460" w:type="dxa"/>
          </w:tcPr>
          <w:p w14:paraId="40950A24" w14:textId="135D747D" w:rsidR="005D3AD5" w:rsidRDefault="005D3AD5" w:rsidP="005D3AD5">
            <w:pPr>
              <w:jc w:val="center"/>
            </w:pPr>
            <w:r w:rsidRPr="003A4732">
              <w:t>HOTC 2</w:t>
            </w:r>
          </w:p>
        </w:tc>
        <w:tc>
          <w:tcPr>
            <w:tcW w:w="5820" w:type="dxa"/>
          </w:tcPr>
          <w:p w14:paraId="30B2E3FE" w14:textId="5EB46EB3" w:rsidR="005D3AD5" w:rsidRDefault="005D3AD5" w:rsidP="005D3AD5">
            <w:pPr>
              <w:jc w:val="center"/>
            </w:pPr>
            <w:r w:rsidRPr="00203FD3">
              <w:t>Sunsets the homeownership production tax credit $10M annual authorization in 2030.</w:t>
            </w:r>
          </w:p>
        </w:tc>
      </w:tr>
      <w:tr w:rsidR="005D3AD5" w14:paraId="661FC002" w14:textId="77777777" w:rsidTr="00D03F92">
        <w:tc>
          <w:tcPr>
            <w:tcW w:w="1070" w:type="dxa"/>
          </w:tcPr>
          <w:p w14:paraId="35631233" w14:textId="52329C2B" w:rsidR="005D3AD5" w:rsidRDefault="005D3AD5" w:rsidP="005D3AD5">
            <w:pPr>
              <w:jc w:val="center"/>
            </w:pPr>
            <w:r w:rsidRPr="00572EFA">
              <w:t>24</w:t>
            </w:r>
          </w:p>
        </w:tc>
        <w:tc>
          <w:tcPr>
            <w:tcW w:w="2460" w:type="dxa"/>
          </w:tcPr>
          <w:p w14:paraId="34BE0CF0" w14:textId="034A998F" w:rsidR="005D3AD5" w:rsidRDefault="005D3AD5" w:rsidP="005D3AD5">
            <w:pPr>
              <w:jc w:val="center"/>
            </w:pPr>
            <w:r w:rsidRPr="003A4732">
              <w:t>CITC 2</w:t>
            </w:r>
          </w:p>
        </w:tc>
        <w:tc>
          <w:tcPr>
            <w:tcW w:w="5820" w:type="dxa"/>
          </w:tcPr>
          <w:p w14:paraId="7A0327EE" w14:textId="73A4F88E" w:rsidR="005D3AD5" w:rsidRDefault="005D3AD5" w:rsidP="005D3AD5">
            <w:pPr>
              <w:jc w:val="center"/>
            </w:pPr>
            <w:r w:rsidRPr="00203FD3">
              <w:t>Increases the Community Investment Tax Credit by $3M and repeals the credit's 20205 sunset date.</w:t>
            </w:r>
          </w:p>
        </w:tc>
      </w:tr>
      <w:tr w:rsidR="005D3AD5" w14:paraId="549462FE" w14:textId="77777777" w:rsidTr="00D03F92">
        <w:tc>
          <w:tcPr>
            <w:tcW w:w="1070" w:type="dxa"/>
          </w:tcPr>
          <w:p w14:paraId="6B15F1F4" w14:textId="7A9E0BC3" w:rsidR="005D3AD5" w:rsidRDefault="005D3AD5" w:rsidP="005D3AD5">
            <w:pPr>
              <w:jc w:val="center"/>
            </w:pPr>
            <w:r w:rsidRPr="00572EFA">
              <w:t>25</w:t>
            </w:r>
          </w:p>
        </w:tc>
        <w:tc>
          <w:tcPr>
            <w:tcW w:w="2460" w:type="dxa"/>
          </w:tcPr>
          <w:p w14:paraId="43F006B1" w14:textId="5FF1B4A0" w:rsidR="005D3AD5" w:rsidRDefault="005D3AD5" w:rsidP="005D3AD5">
            <w:pPr>
              <w:jc w:val="center"/>
            </w:pPr>
            <w:r w:rsidRPr="003A4732">
              <w:t>HOTC 3</w:t>
            </w:r>
          </w:p>
        </w:tc>
        <w:tc>
          <w:tcPr>
            <w:tcW w:w="5820" w:type="dxa"/>
          </w:tcPr>
          <w:p w14:paraId="6A3D8140" w14:textId="011C5803" w:rsidR="005D3AD5" w:rsidRDefault="005D3AD5" w:rsidP="005D3AD5">
            <w:pPr>
              <w:jc w:val="center"/>
            </w:pPr>
            <w:r w:rsidRPr="00203FD3">
              <w:t>Establishes a tax credit to support the production of affordable homeownership units affordable to households earning not more than 120% AMI.</w:t>
            </w:r>
          </w:p>
        </w:tc>
      </w:tr>
      <w:tr w:rsidR="005D3AD5" w14:paraId="087E086E" w14:textId="77777777" w:rsidTr="00D03F92">
        <w:tc>
          <w:tcPr>
            <w:tcW w:w="1070" w:type="dxa"/>
          </w:tcPr>
          <w:p w14:paraId="5BA695F2" w14:textId="1C36387F" w:rsidR="005D3AD5" w:rsidRDefault="005D3AD5" w:rsidP="005D3AD5">
            <w:pPr>
              <w:jc w:val="center"/>
            </w:pPr>
            <w:r w:rsidRPr="00572EFA">
              <w:t>26</w:t>
            </w:r>
          </w:p>
        </w:tc>
        <w:tc>
          <w:tcPr>
            <w:tcW w:w="2460" w:type="dxa"/>
          </w:tcPr>
          <w:p w14:paraId="20D33F6E" w14:textId="56AB4860" w:rsidR="005D3AD5" w:rsidRDefault="005D3AD5" w:rsidP="005D3AD5">
            <w:pPr>
              <w:jc w:val="center"/>
            </w:pPr>
            <w:r w:rsidRPr="003A4732">
              <w:t>HOTC 4</w:t>
            </w:r>
          </w:p>
        </w:tc>
        <w:tc>
          <w:tcPr>
            <w:tcW w:w="5820" w:type="dxa"/>
          </w:tcPr>
          <w:p w14:paraId="6335229F" w14:textId="376916A0" w:rsidR="005D3AD5" w:rsidRDefault="005D3AD5" w:rsidP="005D3AD5">
            <w:pPr>
              <w:jc w:val="center"/>
            </w:pPr>
            <w:r w:rsidRPr="00203FD3">
              <w:t>Sunsets the homeownership production tax credit $10M annual authorization in 2030.</w:t>
            </w:r>
          </w:p>
        </w:tc>
      </w:tr>
      <w:tr w:rsidR="005D3AD5" w14:paraId="3D70BA8F" w14:textId="77777777" w:rsidTr="00D03F92">
        <w:tc>
          <w:tcPr>
            <w:tcW w:w="1070" w:type="dxa"/>
          </w:tcPr>
          <w:p w14:paraId="66160F31" w14:textId="67220EF7" w:rsidR="005D3AD5" w:rsidRDefault="005D3AD5" w:rsidP="005D3AD5">
            <w:pPr>
              <w:jc w:val="center"/>
            </w:pPr>
            <w:r w:rsidRPr="00572EFA">
              <w:t>27</w:t>
            </w:r>
          </w:p>
        </w:tc>
        <w:tc>
          <w:tcPr>
            <w:tcW w:w="2460" w:type="dxa"/>
          </w:tcPr>
          <w:p w14:paraId="7751C395" w14:textId="04046B16" w:rsidR="005D3AD5" w:rsidRDefault="005D3AD5" w:rsidP="005D3AD5">
            <w:pPr>
              <w:jc w:val="center"/>
            </w:pPr>
            <w:r w:rsidRPr="003A4732">
              <w:t>Eviction Sealing 1</w:t>
            </w:r>
          </w:p>
        </w:tc>
        <w:tc>
          <w:tcPr>
            <w:tcW w:w="5820" w:type="dxa"/>
          </w:tcPr>
          <w:p w14:paraId="16C923D7" w14:textId="1AE05B85" w:rsidR="005D3AD5" w:rsidRDefault="005D3AD5" w:rsidP="005D3AD5">
            <w:pPr>
              <w:jc w:val="center"/>
            </w:pPr>
            <w:r w:rsidRPr="00203FD3">
              <w:t>Prohibits consumer reporting agencies from disclosing information in sealed eviction records.</w:t>
            </w:r>
          </w:p>
        </w:tc>
      </w:tr>
      <w:tr w:rsidR="005D3AD5" w14:paraId="78E0336B" w14:textId="77777777" w:rsidTr="00D03F92">
        <w:tc>
          <w:tcPr>
            <w:tcW w:w="1070" w:type="dxa"/>
          </w:tcPr>
          <w:p w14:paraId="28B1D66B" w14:textId="20A507BA" w:rsidR="005D3AD5" w:rsidRDefault="005D3AD5" w:rsidP="005D3AD5">
            <w:pPr>
              <w:jc w:val="center"/>
            </w:pPr>
            <w:r w:rsidRPr="00572EFA">
              <w:t>28</w:t>
            </w:r>
          </w:p>
        </w:tc>
        <w:tc>
          <w:tcPr>
            <w:tcW w:w="2460" w:type="dxa"/>
          </w:tcPr>
          <w:p w14:paraId="497B91E0" w14:textId="388CE729" w:rsidR="005D3AD5" w:rsidRDefault="005D3AD5" w:rsidP="005D3AD5">
            <w:pPr>
              <w:jc w:val="center"/>
            </w:pPr>
            <w:r w:rsidRPr="003A4732">
              <w:t>Receivership for Affordable Housing</w:t>
            </w:r>
          </w:p>
        </w:tc>
        <w:tc>
          <w:tcPr>
            <w:tcW w:w="5820" w:type="dxa"/>
          </w:tcPr>
          <w:p w14:paraId="24981166" w14:textId="6CF5CCC6" w:rsidR="005D3AD5" w:rsidRDefault="005D3AD5" w:rsidP="005D3AD5">
            <w:pPr>
              <w:jc w:val="center"/>
            </w:pPr>
            <w:r w:rsidRPr="00203FD3">
              <w:t>Amends the receivership statute to permit courts to allow the sale of vacant properties in receivership to nonprofits for fair market value to rehabilitate and sell affordably to income-eligible first-time homebuyers</w:t>
            </w:r>
          </w:p>
        </w:tc>
      </w:tr>
      <w:tr w:rsidR="005D3AD5" w14:paraId="7C87CF37" w14:textId="77777777" w:rsidTr="00D03F92">
        <w:tc>
          <w:tcPr>
            <w:tcW w:w="1070" w:type="dxa"/>
          </w:tcPr>
          <w:p w14:paraId="4C218702" w14:textId="762636EB" w:rsidR="005D3AD5" w:rsidRDefault="005D3AD5" w:rsidP="005D3AD5">
            <w:pPr>
              <w:jc w:val="center"/>
            </w:pPr>
            <w:r w:rsidRPr="00572EFA">
              <w:t>29</w:t>
            </w:r>
          </w:p>
        </w:tc>
        <w:tc>
          <w:tcPr>
            <w:tcW w:w="2460" w:type="dxa"/>
          </w:tcPr>
          <w:p w14:paraId="3D452A5F" w14:textId="108CE444" w:rsidR="005D3AD5" w:rsidRDefault="005D3AD5" w:rsidP="005D3AD5">
            <w:pPr>
              <w:jc w:val="center"/>
            </w:pPr>
            <w:r w:rsidRPr="003A4732">
              <w:t>Regional Housing Authorities</w:t>
            </w:r>
          </w:p>
        </w:tc>
        <w:tc>
          <w:tcPr>
            <w:tcW w:w="5820" w:type="dxa"/>
          </w:tcPr>
          <w:p w14:paraId="217765C4" w14:textId="2CBDB327" w:rsidR="005D3AD5" w:rsidRDefault="005D3AD5" w:rsidP="005D3AD5">
            <w:pPr>
              <w:jc w:val="center"/>
            </w:pPr>
            <w:r w:rsidRPr="00203FD3">
              <w:t>Removes the requirement for a Home Rule Petition if Local Housing Authorities (LHAs) choose to regionalize with an approval from each involved LHA board and EOHLC.</w:t>
            </w:r>
          </w:p>
        </w:tc>
      </w:tr>
      <w:tr w:rsidR="005D3AD5" w14:paraId="0467AC15" w14:textId="77777777" w:rsidTr="00D03F92">
        <w:tc>
          <w:tcPr>
            <w:tcW w:w="1070" w:type="dxa"/>
          </w:tcPr>
          <w:p w14:paraId="012567F9" w14:textId="3315D919" w:rsidR="005D3AD5" w:rsidRDefault="005D3AD5" w:rsidP="005D3AD5">
            <w:pPr>
              <w:jc w:val="center"/>
            </w:pPr>
            <w:r w:rsidRPr="00572EFA">
              <w:t>30</w:t>
            </w:r>
          </w:p>
        </w:tc>
        <w:tc>
          <w:tcPr>
            <w:tcW w:w="2460" w:type="dxa"/>
          </w:tcPr>
          <w:p w14:paraId="131259A8" w14:textId="081DCC6A" w:rsidR="005D3AD5" w:rsidRDefault="005D3AD5" w:rsidP="005D3AD5">
            <w:pPr>
              <w:jc w:val="center"/>
            </w:pPr>
            <w:r w:rsidRPr="003A4732">
              <w:t>LHA Borrowing</w:t>
            </w:r>
          </w:p>
        </w:tc>
        <w:tc>
          <w:tcPr>
            <w:tcW w:w="5820" w:type="dxa"/>
          </w:tcPr>
          <w:p w14:paraId="42063D3A" w14:textId="048EB650" w:rsidR="005D3AD5" w:rsidRDefault="005D3AD5" w:rsidP="005D3AD5">
            <w:pPr>
              <w:jc w:val="center"/>
            </w:pPr>
            <w:r w:rsidRPr="00203FD3">
              <w:t>Allows LHAs, with approval from EOHLC, to raise additional funds for rehabilitation projects by borrowing against their capital funds</w:t>
            </w:r>
          </w:p>
        </w:tc>
      </w:tr>
      <w:tr w:rsidR="005D3AD5" w14:paraId="48FF2CF6" w14:textId="77777777" w:rsidTr="00D03F92">
        <w:tc>
          <w:tcPr>
            <w:tcW w:w="1070" w:type="dxa"/>
          </w:tcPr>
          <w:p w14:paraId="184160DF" w14:textId="68365425" w:rsidR="005D3AD5" w:rsidRDefault="005D3AD5" w:rsidP="005D3AD5">
            <w:pPr>
              <w:jc w:val="center"/>
            </w:pPr>
            <w:r w:rsidRPr="00572EFA">
              <w:t>31</w:t>
            </w:r>
          </w:p>
        </w:tc>
        <w:tc>
          <w:tcPr>
            <w:tcW w:w="2460" w:type="dxa"/>
          </w:tcPr>
          <w:p w14:paraId="1F2E0A2E" w14:textId="7A37AB76" w:rsidR="005D3AD5" w:rsidRDefault="005D3AD5" w:rsidP="005D3AD5">
            <w:pPr>
              <w:jc w:val="center"/>
            </w:pPr>
            <w:r w:rsidRPr="003A4732">
              <w:t>LHA Regional Capital Assistance Teams 1</w:t>
            </w:r>
          </w:p>
        </w:tc>
        <w:tc>
          <w:tcPr>
            <w:tcW w:w="5820" w:type="dxa"/>
          </w:tcPr>
          <w:p w14:paraId="44493EE8" w14:textId="376EC6F4" w:rsidR="005D3AD5" w:rsidRDefault="005D3AD5" w:rsidP="005D3AD5">
            <w:pPr>
              <w:jc w:val="center"/>
            </w:pPr>
            <w:r w:rsidRPr="00203FD3">
              <w:t xml:space="preserve">Allows Regional Capital Assistance Teams for public housing (RCATs) to expand their services and capacity by allowing payment for maintenance and operations services not envisioned in the 2014 public housing reform legislation, as well as allow larger LHAs to join the program if they elect to pay for </w:t>
            </w:r>
            <w:r w:rsidR="005336DA">
              <w:t xml:space="preserve">RCAT </w:t>
            </w:r>
            <w:r w:rsidRPr="00203FD3">
              <w:t>services</w:t>
            </w:r>
          </w:p>
        </w:tc>
      </w:tr>
      <w:tr w:rsidR="005D3AD5" w14:paraId="69AC9602" w14:textId="77777777" w:rsidTr="00D03F92">
        <w:tc>
          <w:tcPr>
            <w:tcW w:w="1070" w:type="dxa"/>
          </w:tcPr>
          <w:p w14:paraId="006CBBAD" w14:textId="0746F4E6" w:rsidR="005D3AD5" w:rsidRDefault="005D3AD5" w:rsidP="005D3AD5">
            <w:pPr>
              <w:jc w:val="center"/>
            </w:pPr>
            <w:r w:rsidRPr="00572EFA">
              <w:lastRenderedPageBreak/>
              <w:t>32</w:t>
            </w:r>
          </w:p>
        </w:tc>
        <w:tc>
          <w:tcPr>
            <w:tcW w:w="2460" w:type="dxa"/>
          </w:tcPr>
          <w:p w14:paraId="66689B4F" w14:textId="44B9CD78" w:rsidR="005D3AD5" w:rsidRDefault="005D3AD5" w:rsidP="005D3AD5">
            <w:pPr>
              <w:jc w:val="center"/>
            </w:pPr>
            <w:r w:rsidRPr="003A4732">
              <w:t>LHA Regional Capital Assistance Teams 2</w:t>
            </w:r>
          </w:p>
        </w:tc>
        <w:tc>
          <w:tcPr>
            <w:tcW w:w="5820" w:type="dxa"/>
          </w:tcPr>
          <w:p w14:paraId="561B2022" w14:textId="59116561" w:rsidR="005D3AD5" w:rsidRDefault="005D3AD5" w:rsidP="005D3AD5">
            <w:pPr>
              <w:jc w:val="center"/>
            </w:pPr>
            <w:r w:rsidRPr="00203FD3">
              <w:t>Eliminates the 3 separate RCAT advisory boards and replaces with 1 advisory board covering the entire RCAT program, with bi-annual meetings</w:t>
            </w:r>
          </w:p>
        </w:tc>
      </w:tr>
      <w:tr w:rsidR="005D3AD5" w14:paraId="1DB44786" w14:textId="77777777" w:rsidTr="00D03F92">
        <w:tc>
          <w:tcPr>
            <w:tcW w:w="1070" w:type="dxa"/>
          </w:tcPr>
          <w:p w14:paraId="1D03CCE1" w14:textId="482DCCC8" w:rsidR="005D3AD5" w:rsidRDefault="005D3AD5" w:rsidP="005D3AD5">
            <w:pPr>
              <w:jc w:val="center"/>
            </w:pPr>
            <w:r w:rsidRPr="00572EFA">
              <w:t>33</w:t>
            </w:r>
          </w:p>
        </w:tc>
        <w:tc>
          <w:tcPr>
            <w:tcW w:w="2460" w:type="dxa"/>
          </w:tcPr>
          <w:p w14:paraId="35D79AC5" w14:textId="270C5B53" w:rsidR="005D3AD5" w:rsidRDefault="005D3AD5" w:rsidP="005D3AD5">
            <w:pPr>
              <w:jc w:val="center"/>
            </w:pPr>
            <w:r w:rsidRPr="003A4732">
              <w:t>LHA Performance Audits 1</w:t>
            </w:r>
          </w:p>
        </w:tc>
        <w:tc>
          <w:tcPr>
            <w:tcW w:w="5820" w:type="dxa"/>
            <w:vMerge w:val="restart"/>
          </w:tcPr>
          <w:p w14:paraId="2B5958E6" w14:textId="0B6B216B" w:rsidR="005D3AD5" w:rsidRDefault="005D3AD5" w:rsidP="005D3AD5">
            <w:pPr>
              <w:jc w:val="center"/>
            </w:pPr>
            <w:r w:rsidRPr="00203FD3">
              <w:t>Allows EOHLC to set its own schedule for public housing performance audits, which would be to follow the same practice as the Performance Management Review – biennial with more frequent follow-up in situations of poor performance.</w:t>
            </w:r>
          </w:p>
        </w:tc>
      </w:tr>
      <w:tr w:rsidR="005D3AD5" w14:paraId="1B76D4EF" w14:textId="77777777" w:rsidTr="00D03F92">
        <w:tc>
          <w:tcPr>
            <w:tcW w:w="1070" w:type="dxa"/>
          </w:tcPr>
          <w:p w14:paraId="28289C99" w14:textId="2015FB76" w:rsidR="005D3AD5" w:rsidRDefault="005D3AD5" w:rsidP="005D3AD5">
            <w:pPr>
              <w:jc w:val="center"/>
            </w:pPr>
            <w:r w:rsidRPr="00572EFA">
              <w:t>34</w:t>
            </w:r>
          </w:p>
        </w:tc>
        <w:tc>
          <w:tcPr>
            <w:tcW w:w="2460" w:type="dxa"/>
          </w:tcPr>
          <w:p w14:paraId="390C66E9" w14:textId="201833C1" w:rsidR="005D3AD5" w:rsidRDefault="005D3AD5" w:rsidP="005D3AD5">
            <w:pPr>
              <w:jc w:val="center"/>
            </w:pPr>
            <w:r w:rsidRPr="003A4732">
              <w:t>LHA Performance Audits 2</w:t>
            </w:r>
          </w:p>
        </w:tc>
        <w:tc>
          <w:tcPr>
            <w:tcW w:w="5820" w:type="dxa"/>
            <w:vMerge/>
          </w:tcPr>
          <w:p w14:paraId="2BD4BD81" w14:textId="77777777" w:rsidR="005D3AD5" w:rsidRDefault="005D3AD5" w:rsidP="005D3AD5">
            <w:pPr>
              <w:jc w:val="center"/>
            </w:pPr>
          </w:p>
        </w:tc>
      </w:tr>
      <w:tr w:rsidR="005D3AD5" w14:paraId="1864B400" w14:textId="77777777" w:rsidTr="00D03F92">
        <w:tc>
          <w:tcPr>
            <w:tcW w:w="1070" w:type="dxa"/>
          </w:tcPr>
          <w:p w14:paraId="38D38AD9" w14:textId="065C9970" w:rsidR="005D3AD5" w:rsidRDefault="005D3AD5" w:rsidP="005D3AD5">
            <w:pPr>
              <w:jc w:val="center"/>
            </w:pPr>
            <w:r w:rsidRPr="00572EFA">
              <w:t>35</w:t>
            </w:r>
          </w:p>
        </w:tc>
        <w:tc>
          <w:tcPr>
            <w:tcW w:w="2460" w:type="dxa"/>
          </w:tcPr>
          <w:p w14:paraId="26827F40" w14:textId="5B863A38" w:rsidR="005D3AD5" w:rsidRDefault="005D3AD5" w:rsidP="005D3AD5">
            <w:pPr>
              <w:jc w:val="center"/>
            </w:pPr>
            <w:r w:rsidRPr="003A4732">
              <w:t>LHA c. 149 exemption tech fix</w:t>
            </w:r>
          </w:p>
        </w:tc>
        <w:tc>
          <w:tcPr>
            <w:tcW w:w="5820" w:type="dxa"/>
          </w:tcPr>
          <w:p w14:paraId="77587A9C" w14:textId="27EDBDEB" w:rsidR="005D3AD5" w:rsidRDefault="005D3AD5" w:rsidP="005D3AD5">
            <w:pPr>
              <w:jc w:val="center"/>
            </w:pPr>
            <w:r w:rsidRPr="00203FD3">
              <w:t>Amends the Public Housing filed-sub bid exemption established in the 2022 Economic Development Bill to clarify that the exemption applies to both redevelopment and new development of housing units and removes an extra transfer of ownership between entities before final disposition.</w:t>
            </w:r>
          </w:p>
        </w:tc>
      </w:tr>
      <w:tr w:rsidR="005D3AD5" w14:paraId="4487B683" w14:textId="77777777" w:rsidTr="00D03F92">
        <w:tc>
          <w:tcPr>
            <w:tcW w:w="1070" w:type="dxa"/>
          </w:tcPr>
          <w:p w14:paraId="6A5A2B41" w14:textId="297720AD" w:rsidR="005D3AD5" w:rsidRDefault="005D3AD5" w:rsidP="005D3AD5">
            <w:pPr>
              <w:jc w:val="center"/>
            </w:pPr>
            <w:r w:rsidRPr="00572EFA">
              <w:t>36</w:t>
            </w:r>
          </w:p>
        </w:tc>
        <w:tc>
          <w:tcPr>
            <w:tcW w:w="2460" w:type="dxa"/>
          </w:tcPr>
          <w:p w14:paraId="203A52DA" w14:textId="47745EA5" w:rsidR="005D3AD5" w:rsidRDefault="005D3AD5" w:rsidP="005D3AD5">
            <w:pPr>
              <w:jc w:val="center"/>
            </w:pPr>
            <w:r w:rsidRPr="003A4732">
              <w:t>LHA Tenant Protections</w:t>
            </w:r>
          </w:p>
        </w:tc>
        <w:tc>
          <w:tcPr>
            <w:tcW w:w="5820" w:type="dxa"/>
          </w:tcPr>
          <w:p w14:paraId="788940CB" w14:textId="669BB51D" w:rsidR="005D3AD5" w:rsidRDefault="005D3AD5" w:rsidP="005D3AD5">
            <w:pPr>
              <w:jc w:val="center"/>
            </w:pPr>
            <w:r w:rsidRPr="00203FD3">
              <w:t>Requires any public housing redevelopment project to (</w:t>
            </w:r>
            <w:proofErr w:type="spellStart"/>
            <w:r w:rsidRPr="00203FD3">
              <w:t>i</w:t>
            </w:r>
            <w:proofErr w:type="spellEnd"/>
            <w:r w:rsidRPr="00203FD3">
              <w:t>) ensure certain resident protections; (ii) provide a clear path to enforce protections; (iii) provide for the issuance of regulations and sub-regulatory contracts and forms; (iv) provide that residents should not be adversely affected by change in subsidy or ownership; (v) provide residents with technical assistance to allow for meaningful input.</w:t>
            </w:r>
          </w:p>
        </w:tc>
      </w:tr>
      <w:tr w:rsidR="005D3AD5" w14:paraId="0FBD141E" w14:textId="77777777" w:rsidTr="00D03F92">
        <w:tc>
          <w:tcPr>
            <w:tcW w:w="1070" w:type="dxa"/>
          </w:tcPr>
          <w:p w14:paraId="2571A8B7" w14:textId="5A2D4F28" w:rsidR="005D3AD5" w:rsidRDefault="005D3AD5" w:rsidP="005D3AD5">
            <w:pPr>
              <w:jc w:val="center"/>
            </w:pPr>
            <w:r w:rsidRPr="00572EFA">
              <w:t>37</w:t>
            </w:r>
          </w:p>
        </w:tc>
        <w:tc>
          <w:tcPr>
            <w:tcW w:w="2460" w:type="dxa"/>
          </w:tcPr>
          <w:p w14:paraId="3658613B" w14:textId="54DC28A6" w:rsidR="003C02D2" w:rsidRDefault="00157FBC" w:rsidP="00157FBC">
            <w:pPr>
              <w:jc w:val="center"/>
            </w:pPr>
            <w:r w:rsidRPr="00157FBC">
              <w:t xml:space="preserve">Housing Innovations Fund </w:t>
            </w:r>
            <w:r w:rsidR="005B07AE">
              <w:t>1</w:t>
            </w:r>
          </w:p>
          <w:p w14:paraId="14624841" w14:textId="675EAE7A" w:rsidR="005D3AD5" w:rsidRPr="00157FBC" w:rsidRDefault="00157FBC" w:rsidP="00157FBC">
            <w:pPr>
              <w:jc w:val="center"/>
            </w:pPr>
            <w:r w:rsidRPr="00157FBC">
              <w:t>(</w:t>
            </w:r>
            <w:r w:rsidR="005D3AD5" w:rsidRPr="00157FBC">
              <w:t>HIF 1</w:t>
            </w:r>
            <w:r w:rsidRPr="00157FBC">
              <w:t>)</w:t>
            </w:r>
          </w:p>
        </w:tc>
        <w:tc>
          <w:tcPr>
            <w:tcW w:w="5820" w:type="dxa"/>
            <w:vMerge w:val="restart"/>
          </w:tcPr>
          <w:p w14:paraId="197A9BF0" w14:textId="7E800414" w:rsidR="005D3AD5" w:rsidRDefault="005D3AD5" w:rsidP="005D3AD5">
            <w:pPr>
              <w:jc w:val="center"/>
            </w:pPr>
            <w:r w:rsidRPr="00203FD3">
              <w:t>Amends prior session law to clarify that an affordable housing restriction pursuant to a loan under this authorization may be transferred to an alternative property.</w:t>
            </w:r>
          </w:p>
        </w:tc>
      </w:tr>
      <w:tr w:rsidR="005D3AD5" w14:paraId="201881BF" w14:textId="77777777" w:rsidTr="00D03F92">
        <w:tc>
          <w:tcPr>
            <w:tcW w:w="1070" w:type="dxa"/>
          </w:tcPr>
          <w:p w14:paraId="63B972C7" w14:textId="1742A838" w:rsidR="005D3AD5" w:rsidRDefault="005D3AD5" w:rsidP="005D3AD5">
            <w:pPr>
              <w:jc w:val="center"/>
            </w:pPr>
            <w:r w:rsidRPr="00572EFA">
              <w:t>38</w:t>
            </w:r>
          </w:p>
        </w:tc>
        <w:tc>
          <w:tcPr>
            <w:tcW w:w="2460" w:type="dxa"/>
          </w:tcPr>
          <w:p w14:paraId="5C7518C1" w14:textId="308109AD" w:rsidR="005D3AD5" w:rsidRDefault="005D3AD5" w:rsidP="005D3AD5">
            <w:pPr>
              <w:jc w:val="center"/>
            </w:pPr>
            <w:r w:rsidRPr="003A4732">
              <w:t>HIF 2</w:t>
            </w:r>
          </w:p>
        </w:tc>
        <w:tc>
          <w:tcPr>
            <w:tcW w:w="5820" w:type="dxa"/>
            <w:vMerge/>
          </w:tcPr>
          <w:p w14:paraId="13438380" w14:textId="77777777" w:rsidR="005D3AD5" w:rsidRDefault="005D3AD5" w:rsidP="005D3AD5">
            <w:pPr>
              <w:jc w:val="center"/>
            </w:pPr>
          </w:p>
        </w:tc>
      </w:tr>
      <w:tr w:rsidR="005D3AD5" w14:paraId="40BE16F9" w14:textId="77777777" w:rsidTr="00D03F92">
        <w:tc>
          <w:tcPr>
            <w:tcW w:w="1070" w:type="dxa"/>
          </w:tcPr>
          <w:p w14:paraId="6736315C" w14:textId="733C3B64" w:rsidR="005D3AD5" w:rsidRDefault="005D3AD5" w:rsidP="005D3AD5">
            <w:pPr>
              <w:jc w:val="center"/>
            </w:pPr>
            <w:r w:rsidRPr="00572EFA">
              <w:t>39</w:t>
            </w:r>
          </w:p>
        </w:tc>
        <w:tc>
          <w:tcPr>
            <w:tcW w:w="2460" w:type="dxa"/>
          </w:tcPr>
          <w:p w14:paraId="2510805F" w14:textId="615CFBA6" w:rsidR="005D3AD5" w:rsidRDefault="005D3AD5" w:rsidP="005D3AD5">
            <w:pPr>
              <w:jc w:val="center"/>
            </w:pPr>
            <w:r w:rsidRPr="003A4732">
              <w:t>Combining HSF and CIPF 1</w:t>
            </w:r>
          </w:p>
        </w:tc>
        <w:tc>
          <w:tcPr>
            <w:tcW w:w="5820" w:type="dxa"/>
            <w:vMerge w:val="restart"/>
          </w:tcPr>
          <w:p w14:paraId="05199036" w14:textId="10297EB6" w:rsidR="005D3AD5" w:rsidRDefault="005D3AD5" w:rsidP="005D3AD5">
            <w:pPr>
              <w:jc w:val="center"/>
            </w:pPr>
            <w:r w:rsidRPr="00203FD3">
              <w:t>Combines the Housing Stabilization Fund and the Capital Improvement and Preservation Fund into one section of the General Laws.</w:t>
            </w:r>
          </w:p>
        </w:tc>
      </w:tr>
      <w:tr w:rsidR="005D3AD5" w14:paraId="3AE0D000" w14:textId="77777777" w:rsidTr="00D03F92">
        <w:tc>
          <w:tcPr>
            <w:tcW w:w="1070" w:type="dxa"/>
          </w:tcPr>
          <w:p w14:paraId="57842081" w14:textId="68BF5D5E" w:rsidR="005D3AD5" w:rsidRDefault="005D3AD5" w:rsidP="005D3AD5">
            <w:pPr>
              <w:jc w:val="center"/>
            </w:pPr>
            <w:r w:rsidRPr="00572EFA">
              <w:t>40</w:t>
            </w:r>
          </w:p>
        </w:tc>
        <w:tc>
          <w:tcPr>
            <w:tcW w:w="2460" w:type="dxa"/>
          </w:tcPr>
          <w:p w14:paraId="02DFCABC" w14:textId="472F0C49" w:rsidR="005D3AD5" w:rsidRDefault="005D3AD5" w:rsidP="005D3AD5">
            <w:pPr>
              <w:jc w:val="center"/>
            </w:pPr>
            <w:r w:rsidRPr="003A4732">
              <w:t>Combining HSF and CIPF 2</w:t>
            </w:r>
          </w:p>
        </w:tc>
        <w:tc>
          <w:tcPr>
            <w:tcW w:w="5820" w:type="dxa"/>
            <w:vMerge/>
          </w:tcPr>
          <w:p w14:paraId="5E7147EA" w14:textId="77777777" w:rsidR="005D3AD5" w:rsidRDefault="005D3AD5" w:rsidP="005D3AD5">
            <w:pPr>
              <w:jc w:val="center"/>
            </w:pPr>
          </w:p>
        </w:tc>
      </w:tr>
      <w:tr w:rsidR="005D3AD5" w14:paraId="185CDDE4" w14:textId="77777777" w:rsidTr="00D03F92">
        <w:tc>
          <w:tcPr>
            <w:tcW w:w="1070" w:type="dxa"/>
          </w:tcPr>
          <w:p w14:paraId="5D98615F" w14:textId="106DCAAC" w:rsidR="005D3AD5" w:rsidRDefault="005D3AD5" w:rsidP="005D3AD5">
            <w:pPr>
              <w:jc w:val="center"/>
            </w:pPr>
            <w:r w:rsidRPr="00572EFA">
              <w:t>41</w:t>
            </w:r>
          </w:p>
        </w:tc>
        <w:tc>
          <w:tcPr>
            <w:tcW w:w="2460" w:type="dxa"/>
          </w:tcPr>
          <w:p w14:paraId="39DC5D64" w14:textId="72F72575" w:rsidR="005D3AD5" w:rsidRDefault="005D3AD5" w:rsidP="005D3AD5">
            <w:pPr>
              <w:jc w:val="center"/>
            </w:pPr>
            <w:r w:rsidRPr="003A4732">
              <w:t>Combining HSF and CIPF 3</w:t>
            </w:r>
          </w:p>
        </w:tc>
        <w:tc>
          <w:tcPr>
            <w:tcW w:w="5820" w:type="dxa"/>
            <w:vMerge/>
          </w:tcPr>
          <w:p w14:paraId="55F7A409" w14:textId="77777777" w:rsidR="005D3AD5" w:rsidRDefault="005D3AD5" w:rsidP="005D3AD5">
            <w:pPr>
              <w:jc w:val="center"/>
            </w:pPr>
          </w:p>
        </w:tc>
      </w:tr>
      <w:tr w:rsidR="005D3AD5" w14:paraId="48AEE0BC" w14:textId="77777777" w:rsidTr="00D03F92">
        <w:tc>
          <w:tcPr>
            <w:tcW w:w="1070" w:type="dxa"/>
          </w:tcPr>
          <w:p w14:paraId="3DB92787" w14:textId="5F04F50F" w:rsidR="005D3AD5" w:rsidRDefault="005D3AD5" w:rsidP="005D3AD5">
            <w:pPr>
              <w:jc w:val="center"/>
            </w:pPr>
            <w:r w:rsidRPr="00572EFA">
              <w:t>42</w:t>
            </w:r>
          </w:p>
        </w:tc>
        <w:tc>
          <w:tcPr>
            <w:tcW w:w="2460" w:type="dxa"/>
          </w:tcPr>
          <w:p w14:paraId="032E4CA0" w14:textId="0E64EAA6" w:rsidR="005D3AD5" w:rsidRDefault="005D3AD5" w:rsidP="005D3AD5">
            <w:pPr>
              <w:jc w:val="center"/>
            </w:pPr>
            <w:r w:rsidRPr="003A4732">
              <w:t>Combining HSF and CIPF 4</w:t>
            </w:r>
          </w:p>
        </w:tc>
        <w:tc>
          <w:tcPr>
            <w:tcW w:w="5820" w:type="dxa"/>
            <w:vMerge/>
          </w:tcPr>
          <w:p w14:paraId="223E3CCA" w14:textId="77777777" w:rsidR="005D3AD5" w:rsidRDefault="005D3AD5" w:rsidP="005D3AD5">
            <w:pPr>
              <w:jc w:val="center"/>
            </w:pPr>
          </w:p>
        </w:tc>
      </w:tr>
      <w:tr w:rsidR="005D3AD5" w14:paraId="07F4ADD4" w14:textId="77777777" w:rsidTr="00D03F92">
        <w:tc>
          <w:tcPr>
            <w:tcW w:w="1070" w:type="dxa"/>
          </w:tcPr>
          <w:p w14:paraId="77F0647C" w14:textId="5C3A32B7" w:rsidR="005D3AD5" w:rsidRDefault="005D3AD5" w:rsidP="005D3AD5">
            <w:pPr>
              <w:jc w:val="center"/>
            </w:pPr>
            <w:r w:rsidRPr="00572EFA">
              <w:t>43</w:t>
            </w:r>
          </w:p>
        </w:tc>
        <w:tc>
          <w:tcPr>
            <w:tcW w:w="2460" w:type="dxa"/>
          </w:tcPr>
          <w:p w14:paraId="5C4BE13B" w14:textId="508AA092" w:rsidR="005D3AD5" w:rsidRDefault="005D3AD5" w:rsidP="005D3AD5">
            <w:pPr>
              <w:jc w:val="center"/>
            </w:pPr>
            <w:r w:rsidRPr="003A4732">
              <w:t>Combining HSF and CIPF 5</w:t>
            </w:r>
          </w:p>
        </w:tc>
        <w:tc>
          <w:tcPr>
            <w:tcW w:w="5820" w:type="dxa"/>
            <w:vMerge/>
          </w:tcPr>
          <w:p w14:paraId="660C7BC2" w14:textId="77777777" w:rsidR="005D3AD5" w:rsidRDefault="005D3AD5" w:rsidP="005D3AD5">
            <w:pPr>
              <w:jc w:val="center"/>
            </w:pPr>
          </w:p>
        </w:tc>
      </w:tr>
      <w:tr w:rsidR="005D3AD5" w14:paraId="19547EF9" w14:textId="77777777" w:rsidTr="00D03F92">
        <w:tc>
          <w:tcPr>
            <w:tcW w:w="1070" w:type="dxa"/>
          </w:tcPr>
          <w:p w14:paraId="50BD4427" w14:textId="3FB87065" w:rsidR="005D3AD5" w:rsidRDefault="005D3AD5" w:rsidP="005D3AD5">
            <w:pPr>
              <w:jc w:val="center"/>
            </w:pPr>
            <w:r w:rsidRPr="00572EFA">
              <w:t>44</w:t>
            </w:r>
          </w:p>
        </w:tc>
        <w:tc>
          <w:tcPr>
            <w:tcW w:w="2460" w:type="dxa"/>
          </w:tcPr>
          <w:p w14:paraId="07EC7778" w14:textId="713ED8B4" w:rsidR="005D3AD5" w:rsidRDefault="005D3AD5" w:rsidP="005D3AD5">
            <w:pPr>
              <w:jc w:val="center"/>
            </w:pPr>
            <w:r w:rsidRPr="003A4732">
              <w:t>Combining HSF and CIPF 6</w:t>
            </w:r>
          </w:p>
        </w:tc>
        <w:tc>
          <w:tcPr>
            <w:tcW w:w="5820" w:type="dxa"/>
            <w:vMerge/>
          </w:tcPr>
          <w:p w14:paraId="15AFEE45" w14:textId="77777777" w:rsidR="005D3AD5" w:rsidRDefault="005D3AD5" w:rsidP="005D3AD5">
            <w:pPr>
              <w:jc w:val="center"/>
            </w:pPr>
          </w:p>
        </w:tc>
      </w:tr>
      <w:tr w:rsidR="005D3AD5" w14:paraId="21B7826E" w14:textId="77777777" w:rsidTr="00D03F92">
        <w:tc>
          <w:tcPr>
            <w:tcW w:w="1070" w:type="dxa"/>
          </w:tcPr>
          <w:p w14:paraId="5997C8E2" w14:textId="21BCAB55" w:rsidR="005D3AD5" w:rsidRDefault="005D3AD5" w:rsidP="005D3AD5">
            <w:pPr>
              <w:jc w:val="center"/>
            </w:pPr>
            <w:r w:rsidRPr="00572EFA">
              <w:t>45</w:t>
            </w:r>
          </w:p>
        </w:tc>
        <w:tc>
          <w:tcPr>
            <w:tcW w:w="2460" w:type="dxa"/>
          </w:tcPr>
          <w:p w14:paraId="2F02694F" w14:textId="130C5F2A" w:rsidR="005D3AD5" w:rsidRDefault="005D3AD5" w:rsidP="005D3AD5">
            <w:pPr>
              <w:jc w:val="center"/>
            </w:pPr>
            <w:r w:rsidRPr="003A4732">
              <w:t>Supportive Housing Pool Fund</w:t>
            </w:r>
          </w:p>
        </w:tc>
        <w:tc>
          <w:tcPr>
            <w:tcW w:w="5820" w:type="dxa"/>
          </w:tcPr>
          <w:p w14:paraId="0A8EC20F" w14:textId="72C61072" w:rsidR="005D3AD5" w:rsidRDefault="005D3AD5" w:rsidP="005D3AD5">
            <w:pPr>
              <w:jc w:val="center"/>
            </w:pPr>
            <w:r w:rsidRPr="00203FD3">
              <w:t>Establishes a Supportive Housing Pool Fund to support staffing and service needs for permanent supportive housing.</w:t>
            </w:r>
          </w:p>
        </w:tc>
      </w:tr>
      <w:tr w:rsidR="005D3AD5" w14:paraId="2E590A17" w14:textId="77777777" w:rsidTr="00D03F92">
        <w:tc>
          <w:tcPr>
            <w:tcW w:w="1070" w:type="dxa"/>
          </w:tcPr>
          <w:p w14:paraId="18138CA8" w14:textId="5E05B125" w:rsidR="005D3AD5" w:rsidRDefault="005D3AD5" w:rsidP="005D3AD5">
            <w:pPr>
              <w:jc w:val="center"/>
            </w:pPr>
            <w:r w:rsidRPr="00572EFA">
              <w:t>46</w:t>
            </w:r>
          </w:p>
        </w:tc>
        <w:tc>
          <w:tcPr>
            <w:tcW w:w="2460" w:type="dxa"/>
          </w:tcPr>
          <w:p w14:paraId="4107C294" w14:textId="5CAB85C7" w:rsidR="005D3AD5" w:rsidRDefault="005D3AD5" w:rsidP="005D3AD5">
            <w:pPr>
              <w:jc w:val="center"/>
            </w:pPr>
            <w:r w:rsidRPr="003A4732">
              <w:t>MBTA TOD</w:t>
            </w:r>
          </w:p>
        </w:tc>
        <w:tc>
          <w:tcPr>
            <w:tcW w:w="5820" w:type="dxa"/>
          </w:tcPr>
          <w:p w14:paraId="61C06E6C" w14:textId="3371E2C5" w:rsidR="005D3AD5" w:rsidRDefault="005D3AD5" w:rsidP="005D3AD5">
            <w:pPr>
              <w:jc w:val="center"/>
            </w:pPr>
            <w:r w:rsidRPr="00203FD3">
              <w:t xml:space="preserve">Amends the MBTA statute to authorize the MBTA in any concession or lease of property to require that a developer construct, design, build, finance, operate, or maintain (or any combination of these activities) any mass transit facility or any related facility or component thereof for </w:t>
            </w:r>
            <w:r w:rsidRPr="00203FD3">
              <w:lastRenderedPageBreak/>
              <w:t>the MBTA without any additional procurement or advertising requirements.</w:t>
            </w:r>
          </w:p>
        </w:tc>
      </w:tr>
      <w:tr w:rsidR="005D3AD5" w14:paraId="47D8DD87" w14:textId="77777777" w:rsidTr="00D03F92">
        <w:tc>
          <w:tcPr>
            <w:tcW w:w="1070" w:type="dxa"/>
          </w:tcPr>
          <w:p w14:paraId="28E4DA91" w14:textId="1B69CD68" w:rsidR="005D3AD5" w:rsidRDefault="005D3AD5" w:rsidP="005D3AD5">
            <w:pPr>
              <w:jc w:val="center"/>
            </w:pPr>
            <w:r w:rsidRPr="00572EFA">
              <w:lastRenderedPageBreak/>
              <w:t>47</w:t>
            </w:r>
          </w:p>
        </w:tc>
        <w:tc>
          <w:tcPr>
            <w:tcW w:w="2460" w:type="dxa"/>
          </w:tcPr>
          <w:p w14:paraId="6EA1A7B7" w14:textId="3B3813FC" w:rsidR="005D3AD5" w:rsidRDefault="005D3AD5" w:rsidP="005D3AD5">
            <w:pPr>
              <w:jc w:val="center"/>
            </w:pPr>
            <w:r w:rsidRPr="003A4732">
              <w:t>Eviction Sealing 2</w:t>
            </w:r>
          </w:p>
        </w:tc>
        <w:tc>
          <w:tcPr>
            <w:tcW w:w="5820" w:type="dxa"/>
          </w:tcPr>
          <w:p w14:paraId="4AAC1CC7" w14:textId="33157510" w:rsidR="005D3AD5" w:rsidRDefault="005D3AD5" w:rsidP="005D3AD5">
            <w:pPr>
              <w:jc w:val="center"/>
            </w:pPr>
            <w:r w:rsidRPr="00203FD3">
              <w:t>Establishes a process for the sealing of certain eviction records; (</w:t>
            </w:r>
            <w:proofErr w:type="spellStart"/>
            <w:r w:rsidRPr="00203FD3">
              <w:t>i</w:t>
            </w:r>
            <w:proofErr w:type="spellEnd"/>
            <w:r w:rsidRPr="00203FD3">
              <w:t>) no-fault evictions: after conclusion of the case; (ii) solely non-payment: no other eviction action within past 3 years and judgment for underlying eviction has been satisfied; and (iii) all other fault evictions: 7 years from conclusion of the matter and 3 years without any other eviction case filed against the tenant.</w:t>
            </w:r>
          </w:p>
        </w:tc>
      </w:tr>
      <w:tr w:rsidR="005D3AD5" w14:paraId="2FBA0341" w14:textId="77777777" w:rsidTr="00D03F92">
        <w:tc>
          <w:tcPr>
            <w:tcW w:w="1070" w:type="dxa"/>
          </w:tcPr>
          <w:p w14:paraId="05B3D5C0" w14:textId="44F9D703" w:rsidR="005D3AD5" w:rsidRDefault="005D3AD5" w:rsidP="005D3AD5">
            <w:pPr>
              <w:jc w:val="center"/>
            </w:pPr>
            <w:r w:rsidRPr="00572EFA">
              <w:t>48</w:t>
            </w:r>
          </w:p>
        </w:tc>
        <w:tc>
          <w:tcPr>
            <w:tcW w:w="2460" w:type="dxa"/>
          </w:tcPr>
          <w:p w14:paraId="5F1BCEAF" w14:textId="71638B94" w:rsidR="005D3AD5" w:rsidRDefault="005D3AD5" w:rsidP="005D3AD5">
            <w:pPr>
              <w:jc w:val="center"/>
            </w:pPr>
            <w:proofErr w:type="spellStart"/>
            <w:r w:rsidRPr="003A4732">
              <w:t>MassHousing</w:t>
            </w:r>
            <w:proofErr w:type="spellEnd"/>
            <w:r w:rsidRPr="003A4732">
              <w:t xml:space="preserve"> 1</w:t>
            </w:r>
          </w:p>
        </w:tc>
        <w:tc>
          <w:tcPr>
            <w:tcW w:w="5820" w:type="dxa"/>
            <w:vMerge w:val="restart"/>
          </w:tcPr>
          <w:p w14:paraId="48D508A8" w14:textId="5BE48CA3" w:rsidR="005D3AD5" w:rsidRDefault="005D3AD5" w:rsidP="005D3AD5">
            <w:pPr>
              <w:jc w:val="center"/>
            </w:pPr>
            <w:r w:rsidRPr="00203FD3">
              <w:t xml:space="preserve">Amends the </w:t>
            </w:r>
            <w:proofErr w:type="spellStart"/>
            <w:r w:rsidRPr="00203FD3">
              <w:t>MassHousing</w:t>
            </w:r>
            <w:proofErr w:type="spellEnd"/>
            <w:r w:rsidRPr="00203FD3">
              <w:t xml:space="preserve"> enabling act to change DHCD to EOHLC.</w:t>
            </w:r>
          </w:p>
        </w:tc>
      </w:tr>
      <w:tr w:rsidR="005D3AD5" w14:paraId="2480E020" w14:textId="77777777" w:rsidTr="00D03F92">
        <w:tc>
          <w:tcPr>
            <w:tcW w:w="1070" w:type="dxa"/>
          </w:tcPr>
          <w:p w14:paraId="0E1B8F83" w14:textId="3FBA6BD3" w:rsidR="005D3AD5" w:rsidRDefault="005D3AD5" w:rsidP="005D3AD5">
            <w:pPr>
              <w:jc w:val="center"/>
            </w:pPr>
            <w:r w:rsidRPr="00572EFA">
              <w:t>49</w:t>
            </w:r>
          </w:p>
        </w:tc>
        <w:tc>
          <w:tcPr>
            <w:tcW w:w="2460" w:type="dxa"/>
          </w:tcPr>
          <w:p w14:paraId="525D3F39" w14:textId="12EE8F39" w:rsidR="005D3AD5" w:rsidRDefault="005D3AD5" w:rsidP="005D3AD5">
            <w:pPr>
              <w:jc w:val="center"/>
            </w:pPr>
            <w:proofErr w:type="spellStart"/>
            <w:r w:rsidRPr="003A4732">
              <w:t>MassHousing</w:t>
            </w:r>
            <w:proofErr w:type="spellEnd"/>
            <w:r w:rsidRPr="003A4732">
              <w:t xml:space="preserve"> 2</w:t>
            </w:r>
          </w:p>
        </w:tc>
        <w:tc>
          <w:tcPr>
            <w:tcW w:w="5820" w:type="dxa"/>
            <w:vMerge/>
          </w:tcPr>
          <w:p w14:paraId="5E4F551B" w14:textId="59AC08D7" w:rsidR="005D3AD5" w:rsidRDefault="005D3AD5" w:rsidP="005D3AD5">
            <w:pPr>
              <w:jc w:val="center"/>
            </w:pPr>
          </w:p>
        </w:tc>
      </w:tr>
      <w:tr w:rsidR="005D3AD5" w14:paraId="42C42FA0" w14:textId="77777777" w:rsidTr="00D03F92">
        <w:tc>
          <w:tcPr>
            <w:tcW w:w="1070" w:type="dxa"/>
          </w:tcPr>
          <w:p w14:paraId="7F22F401" w14:textId="6DC76068" w:rsidR="005D3AD5" w:rsidRDefault="005D3AD5" w:rsidP="005D3AD5">
            <w:pPr>
              <w:jc w:val="center"/>
            </w:pPr>
            <w:r w:rsidRPr="00572EFA">
              <w:t>50</w:t>
            </w:r>
          </w:p>
        </w:tc>
        <w:tc>
          <w:tcPr>
            <w:tcW w:w="2460" w:type="dxa"/>
          </w:tcPr>
          <w:p w14:paraId="7AF7B608" w14:textId="64F94B42" w:rsidR="005D3AD5" w:rsidRDefault="005D3AD5" w:rsidP="005D3AD5">
            <w:pPr>
              <w:jc w:val="center"/>
            </w:pPr>
            <w:r w:rsidRPr="003A4732">
              <w:t>MHP 1</w:t>
            </w:r>
          </w:p>
        </w:tc>
        <w:tc>
          <w:tcPr>
            <w:tcW w:w="5820" w:type="dxa"/>
            <w:vMerge w:val="restart"/>
          </w:tcPr>
          <w:p w14:paraId="0C0F51DD" w14:textId="5938A3F4" w:rsidR="005D3AD5" w:rsidRDefault="005D3AD5" w:rsidP="005D3AD5">
            <w:pPr>
              <w:jc w:val="center"/>
            </w:pPr>
            <w:r w:rsidRPr="00203FD3">
              <w:t>Amends the Massachusetts Housing Partnership enabling act to change DHCD to EOHLC.</w:t>
            </w:r>
          </w:p>
        </w:tc>
      </w:tr>
      <w:tr w:rsidR="005D3AD5" w14:paraId="5EC4F03B" w14:textId="77777777" w:rsidTr="00D03F92">
        <w:tc>
          <w:tcPr>
            <w:tcW w:w="1070" w:type="dxa"/>
          </w:tcPr>
          <w:p w14:paraId="7B63EAA2" w14:textId="14CA5F0F" w:rsidR="005D3AD5" w:rsidRDefault="005D3AD5" w:rsidP="005D3AD5">
            <w:pPr>
              <w:jc w:val="center"/>
            </w:pPr>
            <w:r w:rsidRPr="00572EFA">
              <w:t>51</w:t>
            </w:r>
          </w:p>
        </w:tc>
        <w:tc>
          <w:tcPr>
            <w:tcW w:w="2460" w:type="dxa"/>
          </w:tcPr>
          <w:p w14:paraId="432D3D11" w14:textId="4AC8FCBE" w:rsidR="005D3AD5" w:rsidRDefault="005D3AD5" w:rsidP="005D3AD5">
            <w:pPr>
              <w:jc w:val="center"/>
            </w:pPr>
            <w:r w:rsidRPr="003A4732">
              <w:t>MHP 2</w:t>
            </w:r>
          </w:p>
        </w:tc>
        <w:tc>
          <w:tcPr>
            <w:tcW w:w="5820" w:type="dxa"/>
            <w:vMerge/>
          </w:tcPr>
          <w:p w14:paraId="398C8487" w14:textId="77777777" w:rsidR="005D3AD5" w:rsidRDefault="005D3AD5" w:rsidP="005D3AD5">
            <w:pPr>
              <w:jc w:val="center"/>
            </w:pPr>
          </w:p>
        </w:tc>
      </w:tr>
      <w:tr w:rsidR="005D3AD5" w14:paraId="7E4EB4CD" w14:textId="77777777" w:rsidTr="00D03F92">
        <w:tc>
          <w:tcPr>
            <w:tcW w:w="1070" w:type="dxa"/>
          </w:tcPr>
          <w:p w14:paraId="4440E252" w14:textId="32AD7DDE" w:rsidR="005D3AD5" w:rsidRDefault="005D3AD5" w:rsidP="005D3AD5">
            <w:pPr>
              <w:jc w:val="center"/>
            </w:pPr>
            <w:r w:rsidRPr="00572EFA">
              <w:t>52</w:t>
            </w:r>
          </w:p>
        </w:tc>
        <w:tc>
          <w:tcPr>
            <w:tcW w:w="2460" w:type="dxa"/>
          </w:tcPr>
          <w:p w14:paraId="08374A4B" w14:textId="59BFB7F2" w:rsidR="005D3AD5" w:rsidRDefault="006E34D3" w:rsidP="00157FBC">
            <w:pPr>
              <w:tabs>
                <w:tab w:val="left" w:pos="726"/>
                <w:tab w:val="center" w:pos="1128"/>
              </w:tabs>
              <w:jc w:val="center"/>
            </w:pPr>
            <w:r>
              <w:t>Facil</w:t>
            </w:r>
            <w:r w:rsidR="00157FBC">
              <w:t>ities Consolidation Fund</w:t>
            </w:r>
            <w:r w:rsidR="005B07AE">
              <w:t xml:space="preserve"> 1</w:t>
            </w:r>
            <w:r w:rsidR="00157FBC">
              <w:t xml:space="preserve"> (</w:t>
            </w:r>
            <w:r w:rsidR="005D3AD5" w:rsidRPr="003A4732">
              <w:t>FCF 1</w:t>
            </w:r>
            <w:r w:rsidR="00157FBC">
              <w:t>)</w:t>
            </w:r>
          </w:p>
        </w:tc>
        <w:tc>
          <w:tcPr>
            <w:tcW w:w="5820" w:type="dxa"/>
            <w:vMerge w:val="restart"/>
          </w:tcPr>
          <w:p w14:paraId="4C29E54E" w14:textId="623CC0DE" w:rsidR="005D3AD5" w:rsidRDefault="005D3AD5" w:rsidP="005D3AD5">
            <w:pPr>
              <w:jc w:val="center"/>
            </w:pPr>
            <w:r w:rsidRPr="00203FD3">
              <w:t>Amends prior session law to clarify that an affordable housing restriction pursuant to a prior loan under this authorization may be transferred to an alternative property.</w:t>
            </w:r>
          </w:p>
        </w:tc>
      </w:tr>
      <w:tr w:rsidR="005D3AD5" w14:paraId="5AE920F6" w14:textId="77777777" w:rsidTr="00D03F92">
        <w:tc>
          <w:tcPr>
            <w:tcW w:w="1070" w:type="dxa"/>
          </w:tcPr>
          <w:p w14:paraId="2C7B2A04" w14:textId="44C28910" w:rsidR="005D3AD5" w:rsidRDefault="005D3AD5" w:rsidP="005D3AD5">
            <w:pPr>
              <w:jc w:val="center"/>
            </w:pPr>
            <w:r w:rsidRPr="00572EFA">
              <w:t>53</w:t>
            </w:r>
          </w:p>
        </w:tc>
        <w:tc>
          <w:tcPr>
            <w:tcW w:w="2460" w:type="dxa"/>
          </w:tcPr>
          <w:p w14:paraId="0C079394" w14:textId="36F1F015" w:rsidR="005D3AD5" w:rsidRDefault="005D3AD5" w:rsidP="005D3AD5">
            <w:pPr>
              <w:jc w:val="center"/>
            </w:pPr>
            <w:r w:rsidRPr="003A4732">
              <w:t>FCF 2</w:t>
            </w:r>
          </w:p>
        </w:tc>
        <w:tc>
          <w:tcPr>
            <w:tcW w:w="5820" w:type="dxa"/>
            <w:vMerge/>
          </w:tcPr>
          <w:p w14:paraId="19B54A1E" w14:textId="77777777" w:rsidR="005D3AD5" w:rsidRDefault="005D3AD5" w:rsidP="005D3AD5">
            <w:pPr>
              <w:jc w:val="center"/>
            </w:pPr>
          </w:p>
        </w:tc>
      </w:tr>
      <w:tr w:rsidR="005D3AD5" w14:paraId="355DE711" w14:textId="77777777" w:rsidTr="00D03F92">
        <w:tc>
          <w:tcPr>
            <w:tcW w:w="1070" w:type="dxa"/>
          </w:tcPr>
          <w:p w14:paraId="3CA262D2" w14:textId="7610F55D" w:rsidR="005D3AD5" w:rsidRDefault="005D3AD5" w:rsidP="005D3AD5">
            <w:pPr>
              <w:jc w:val="center"/>
            </w:pPr>
            <w:r w:rsidRPr="00572EFA">
              <w:t>54</w:t>
            </w:r>
          </w:p>
        </w:tc>
        <w:tc>
          <w:tcPr>
            <w:tcW w:w="2460" w:type="dxa"/>
          </w:tcPr>
          <w:p w14:paraId="3CB5E9E1" w14:textId="7A94237A" w:rsidR="005D3AD5" w:rsidRDefault="005D3AD5" w:rsidP="005D3AD5">
            <w:pPr>
              <w:jc w:val="center"/>
            </w:pPr>
            <w:r w:rsidRPr="003A4732">
              <w:t>FCF 3</w:t>
            </w:r>
          </w:p>
        </w:tc>
        <w:tc>
          <w:tcPr>
            <w:tcW w:w="5820" w:type="dxa"/>
          </w:tcPr>
          <w:p w14:paraId="29DA438B" w14:textId="4FBFF591" w:rsidR="005D3AD5" w:rsidRDefault="005D3AD5" w:rsidP="005D3AD5">
            <w:pPr>
              <w:jc w:val="center"/>
            </w:pPr>
            <w:r w:rsidRPr="00203FD3">
              <w:t>Amends prior session law to clarify that loans under prior authorizations may be refinanced.</w:t>
            </w:r>
          </w:p>
        </w:tc>
      </w:tr>
      <w:tr w:rsidR="005D3AD5" w14:paraId="762B42B4" w14:textId="77777777" w:rsidTr="00D03F92">
        <w:tc>
          <w:tcPr>
            <w:tcW w:w="1070" w:type="dxa"/>
          </w:tcPr>
          <w:p w14:paraId="6E763A29" w14:textId="03A1E6BA" w:rsidR="005D3AD5" w:rsidRDefault="005D3AD5" w:rsidP="005D3AD5">
            <w:pPr>
              <w:jc w:val="center"/>
            </w:pPr>
            <w:r w:rsidRPr="00572EFA">
              <w:t>55</w:t>
            </w:r>
          </w:p>
        </w:tc>
        <w:tc>
          <w:tcPr>
            <w:tcW w:w="2460" w:type="dxa"/>
          </w:tcPr>
          <w:p w14:paraId="48A21F92" w14:textId="2021F4F6" w:rsidR="005D3AD5" w:rsidRDefault="005D3AD5" w:rsidP="005D3AD5">
            <w:pPr>
              <w:jc w:val="center"/>
            </w:pPr>
            <w:r w:rsidRPr="003A4732">
              <w:t>HIF 3</w:t>
            </w:r>
          </w:p>
        </w:tc>
        <w:tc>
          <w:tcPr>
            <w:tcW w:w="5820" w:type="dxa"/>
            <w:vMerge w:val="restart"/>
          </w:tcPr>
          <w:p w14:paraId="0EA1F471" w14:textId="123C8B41" w:rsidR="005D3AD5" w:rsidRDefault="005D3AD5" w:rsidP="005D3AD5">
            <w:pPr>
              <w:jc w:val="center"/>
            </w:pPr>
            <w:r w:rsidRPr="00203FD3">
              <w:t>Amends prior session law to clarify that an affordable housing restriction pursuant to a loan under this authorization may be transferred to an alternative property.</w:t>
            </w:r>
          </w:p>
        </w:tc>
      </w:tr>
      <w:tr w:rsidR="005D3AD5" w14:paraId="5BA795DB" w14:textId="77777777" w:rsidTr="00D03F92">
        <w:tc>
          <w:tcPr>
            <w:tcW w:w="1070" w:type="dxa"/>
          </w:tcPr>
          <w:p w14:paraId="74AAE14F" w14:textId="751D1D72" w:rsidR="005D3AD5" w:rsidRDefault="005D3AD5" w:rsidP="005D3AD5">
            <w:pPr>
              <w:jc w:val="center"/>
            </w:pPr>
            <w:r w:rsidRPr="00572EFA">
              <w:t>56</w:t>
            </w:r>
          </w:p>
        </w:tc>
        <w:tc>
          <w:tcPr>
            <w:tcW w:w="2460" w:type="dxa"/>
          </w:tcPr>
          <w:p w14:paraId="5A927F85" w14:textId="51BF3BBC" w:rsidR="005D3AD5" w:rsidRDefault="005D3AD5" w:rsidP="005D3AD5">
            <w:pPr>
              <w:jc w:val="center"/>
            </w:pPr>
            <w:r w:rsidRPr="003A4732">
              <w:t>HIF 4</w:t>
            </w:r>
          </w:p>
        </w:tc>
        <w:tc>
          <w:tcPr>
            <w:tcW w:w="5820" w:type="dxa"/>
            <w:vMerge/>
          </w:tcPr>
          <w:p w14:paraId="4132F9D7" w14:textId="77777777" w:rsidR="005D3AD5" w:rsidRDefault="005D3AD5" w:rsidP="005D3AD5">
            <w:pPr>
              <w:jc w:val="center"/>
            </w:pPr>
          </w:p>
        </w:tc>
      </w:tr>
      <w:tr w:rsidR="005D3AD5" w14:paraId="09AC42B4" w14:textId="77777777" w:rsidTr="00D03F92">
        <w:tc>
          <w:tcPr>
            <w:tcW w:w="1070" w:type="dxa"/>
          </w:tcPr>
          <w:p w14:paraId="472CC9DA" w14:textId="78FFA13C" w:rsidR="005D3AD5" w:rsidRDefault="005D3AD5" w:rsidP="005D3AD5">
            <w:pPr>
              <w:jc w:val="center"/>
            </w:pPr>
            <w:r w:rsidRPr="00572EFA">
              <w:t>57</w:t>
            </w:r>
          </w:p>
        </w:tc>
        <w:tc>
          <w:tcPr>
            <w:tcW w:w="2460" w:type="dxa"/>
          </w:tcPr>
          <w:p w14:paraId="1C487B20" w14:textId="3063883E" w:rsidR="005D3AD5" w:rsidRDefault="005D3AD5" w:rsidP="005D3AD5">
            <w:pPr>
              <w:jc w:val="center"/>
            </w:pPr>
            <w:r w:rsidRPr="003A4732">
              <w:t>HIF 5</w:t>
            </w:r>
          </w:p>
        </w:tc>
        <w:tc>
          <w:tcPr>
            <w:tcW w:w="5820" w:type="dxa"/>
          </w:tcPr>
          <w:p w14:paraId="23A846AE" w14:textId="37B6EC58" w:rsidR="005D3AD5" w:rsidRDefault="005D3AD5" w:rsidP="005D3AD5">
            <w:pPr>
              <w:jc w:val="center"/>
            </w:pPr>
            <w:r w:rsidRPr="00203FD3">
              <w:t>Amends prior session law to clarify that loans under prior authorizations may be refinanced.</w:t>
            </w:r>
          </w:p>
        </w:tc>
      </w:tr>
      <w:tr w:rsidR="005D3AD5" w14:paraId="149B7464" w14:textId="77777777" w:rsidTr="00D03F92">
        <w:tc>
          <w:tcPr>
            <w:tcW w:w="1070" w:type="dxa"/>
          </w:tcPr>
          <w:p w14:paraId="30879D6D" w14:textId="01D980B3" w:rsidR="005D3AD5" w:rsidRDefault="005D3AD5" w:rsidP="005D3AD5">
            <w:pPr>
              <w:jc w:val="center"/>
            </w:pPr>
            <w:r w:rsidRPr="00572EFA">
              <w:t>58</w:t>
            </w:r>
          </w:p>
        </w:tc>
        <w:tc>
          <w:tcPr>
            <w:tcW w:w="2460" w:type="dxa"/>
          </w:tcPr>
          <w:p w14:paraId="5DAF349D" w14:textId="756E9068" w:rsidR="005D3AD5" w:rsidRDefault="005D3AD5" w:rsidP="005D3AD5">
            <w:pPr>
              <w:jc w:val="center"/>
            </w:pPr>
            <w:r w:rsidRPr="003A4732">
              <w:t>AHVP PBVs</w:t>
            </w:r>
          </w:p>
        </w:tc>
        <w:tc>
          <w:tcPr>
            <w:tcW w:w="5820" w:type="dxa"/>
          </w:tcPr>
          <w:p w14:paraId="258258F5" w14:textId="7F95BA7D" w:rsidR="005D3AD5" w:rsidRDefault="005D3AD5" w:rsidP="005D3AD5">
            <w:pPr>
              <w:jc w:val="center"/>
            </w:pPr>
            <w:r w:rsidRPr="00203FD3">
              <w:t>Amends the Alternative Housing Voucher Program to allow for both tenant-based and project-based vouchers.</w:t>
            </w:r>
          </w:p>
        </w:tc>
      </w:tr>
      <w:tr w:rsidR="005D3AD5" w14:paraId="3CD8434E" w14:textId="77777777" w:rsidTr="00D03F92">
        <w:tc>
          <w:tcPr>
            <w:tcW w:w="1070" w:type="dxa"/>
          </w:tcPr>
          <w:p w14:paraId="2ACCDB73" w14:textId="102AF6EC" w:rsidR="005D3AD5" w:rsidRDefault="005D3AD5" w:rsidP="005D3AD5">
            <w:pPr>
              <w:jc w:val="center"/>
            </w:pPr>
            <w:r w:rsidRPr="00572EFA">
              <w:t>59</w:t>
            </w:r>
          </w:p>
        </w:tc>
        <w:tc>
          <w:tcPr>
            <w:tcW w:w="2460" w:type="dxa"/>
          </w:tcPr>
          <w:p w14:paraId="100B8A52" w14:textId="2DA6D67A" w:rsidR="005D3AD5" w:rsidRDefault="005D3AD5" w:rsidP="005D3AD5">
            <w:pPr>
              <w:jc w:val="center"/>
            </w:pPr>
            <w:r w:rsidRPr="003A4732">
              <w:t>HIF 6</w:t>
            </w:r>
          </w:p>
        </w:tc>
        <w:tc>
          <w:tcPr>
            <w:tcW w:w="5820" w:type="dxa"/>
            <w:vMerge w:val="restart"/>
          </w:tcPr>
          <w:p w14:paraId="25C62077" w14:textId="2E205B67" w:rsidR="005D3AD5" w:rsidRDefault="005D3AD5" w:rsidP="005D3AD5">
            <w:pPr>
              <w:jc w:val="center"/>
            </w:pPr>
            <w:r w:rsidRPr="00203FD3">
              <w:t>Amends prior session law to clarify that an affordable housing restriction pursuant to a loan under this authorization may be transferred to an alternative property.</w:t>
            </w:r>
          </w:p>
        </w:tc>
      </w:tr>
      <w:tr w:rsidR="005D3AD5" w14:paraId="5F590576" w14:textId="77777777" w:rsidTr="00D03F92">
        <w:tc>
          <w:tcPr>
            <w:tcW w:w="1070" w:type="dxa"/>
          </w:tcPr>
          <w:p w14:paraId="4F9AEB84" w14:textId="5B4F6F70" w:rsidR="005D3AD5" w:rsidRDefault="005D3AD5" w:rsidP="005D3AD5">
            <w:pPr>
              <w:jc w:val="center"/>
            </w:pPr>
            <w:r w:rsidRPr="00572EFA">
              <w:t>60</w:t>
            </w:r>
          </w:p>
        </w:tc>
        <w:tc>
          <w:tcPr>
            <w:tcW w:w="2460" w:type="dxa"/>
          </w:tcPr>
          <w:p w14:paraId="0549FB2D" w14:textId="747EC0FC" w:rsidR="005D3AD5" w:rsidRDefault="005D3AD5" w:rsidP="005D3AD5">
            <w:pPr>
              <w:jc w:val="center"/>
            </w:pPr>
            <w:r w:rsidRPr="003A4732">
              <w:t>HIF 7</w:t>
            </w:r>
          </w:p>
        </w:tc>
        <w:tc>
          <w:tcPr>
            <w:tcW w:w="5820" w:type="dxa"/>
            <w:vMerge/>
          </w:tcPr>
          <w:p w14:paraId="0235A71F" w14:textId="77777777" w:rsidR="005D3AD5" w:rsidRDefault="005D3AD5" w:rsidP="005D3AD5">
            <w:pPr>
              <w:jc w:val="center"/>
            </w:pPr>
          </w:p>
        </w:tc>
      </w:tr>
      <w:tr w:rsidR="005D3AD5" w14:paraId="2D889CCB" w14:textId="77777777" w:rsidTr="00D03F92">
        <w:tc>
          <w:tcPr>
            <w:tcW w:w="1070" w:type="dxa"/>
          </w:tcPr>
          <w:p w14:paraId="7533585B" w14:textId="1172F2E8" w:rsidR="005D3AD5" w:rsidRDefault="005D3AD5" w:rsidP="005D3AD5">
            <w:pPr>
              <w:jc w:val="center"/>
            </w:pPr>
            <w:r w:rsidRPr="00572EFA">
              <w:t>61</w:t>
            </w:r>
          </w:p>
        </w:tc>
        <w:tc>
          <w:tcPr>
            <w:tcW w:w="2460" w:type="dxa"/>
          </w:tcPr>
          <w:p w14:paraId="4DD19FC2" w14:textId="3DBE8C5E" w:rsidR="005D3AD5" w:rsidRDefault="005D3AD5" w:rsidP="005D3AD5">
            <w:pPr>
              <w:jc w:val="center"/>
            </w:pPr>
            <w:r w:rsidRPr="003A4732">
              <w:t>HIF 8</w:t>
            </w:r>
          </w:p>
        </w:tc>
        <w:tc>
          <w:tcPr>
            <w:tcW w:w="5820" w:type="dxa"/>
          </w:tcPr>
          <w:p w14:paraId="7DEAA353" w14:textId="2A5F39FD" w:rsidR="005D3AD5" w:rsidRDefault="005D3AD5" w:rsidP="005D3AD5">
            <w:pPr>
              <w:jc w:val="center"/>
            </w:pPr>
            <w:r w:rsidRPr="00203FD3">
              <w:t>Amends prior session law to clarify that loans under prior authorizations may be refinanced.</w:t>
            </w:r>
          </w:p>
        </w:tc>
      </w:tr>
      <w:tr w:rsidR="005D3AD5" w14:paraId="49224E1C" w14:textId="77777777" w:rsidTr="00D03F92">
        <w:tc>
          <w:tcPr>
            <w:tcW w:w="1070" w:type="dxa"/>
          </w:tcPr>
          <w:p w14:paraId="6CF3D21D" w14:textId="01DD723F" w:rsidR="005D3AD5" w:rsidRDefault="005D3AD5" w:rsidP="005D3AD5">
            <w:pPr>
              <w:jc w:val="center"/>
            </w:pPr>
            <w:r w:rsidRPr="00572EFA">
              <w:t>62</w:t>
            </w:r>
          </w:p>
        </w:tc>
        <w:tc>
          <w:tcPr>
            <w:tcW w:w="2460" w:type="dxa"/>
          </w:tcPr>
          <w:p w14:paraId="60D08F7B" w14:textId="521BBFB3" w:rsidR="005D3AD5" w:rsidRDefault="005D3AD5" w:rsidP="005D3AD5">
            <w:pPr>
              <w:jc w:val="center"/>
            </w:pPr>
            <w:r w:rsidRPr="003A4732">
              <w:t>HIF 9</w:t>
            </w:r>
          </w:p>
        </w:tc>
        <w:tc>
          <w:tcPr>
            <w:tcW w:w="5820" w:type="dxa"/>
            <w:vMerge w:val="restart"/>
          </w:tcPr>
          <w:p w14:paraId="3C1D3FB8" w14:textId="224061E6" w:rsidR="005D3AD5" w:rsidRDefault="005D3AD5" w:rsidP="005D3AD5">
            <w:pPr>
              <w:jc w:val="center"/>
            </w:pPr>
            <w:r w:rsidRPr="00203FD3">
              <w:t>Amends prior session law to clarify that an affordable housing restriction pursuant to a loan under this authorization may be transferred to an alternative property.</w:t>
            </w:r>
          </w:p>
        </w:tc>
      </w:tr>
      <w:tr w:rsidR="005D3AD5" w14:paraId="4D951AD2" w14:textId="77777777" w:rsidTr="00D03F92">
        <w:tc>
          <w:tcPr>
            <w:tcW w:w="1070" w:type="dxa"/>
          </w:tcPr>
          <w:p w14:paraId="441B60F6" w14:textId="277484B3" w:rsidR="005D3AD5" w:rsidRDefault="005D3AD5" w:rsidP="005D3AD5">
            <w:pPr>
              <w:jc w:val="center"/>
            </w:pPr>
            <w:r w:rsidRPr="00572EFA">
              <w:t>63</w:t>
            </w:r>
          </w:p>
        </w:tc>
        <w:tc>
          <w:tcPr>
            <w:tcW w:w="2460" w:type="dxa"/>
          </w:tcPr>
          <w:p w14:paraId="6963A092" w14:textId="0D960FCB" w:rsidR="005D3AD5" w:rsidRDefault="005D3AD5" w:rsidP="005D3AD5">
            <w:pPr>
              <w:jc w:val="center"/>
            </w:pPr>
            <w:r w:rsidRPr="003A4732">
              <w:t>HIF 10</w:t>
            </w:r>
          </w:p>
        </w:tc>
        <w:tc>
          <w:tcPr>
            <w:tcW w:w="5820" w:type="dxa"/>
            <w:vMerge/>
          </w:tcPr>
          <w:p w14:paraId="2E13EDC3" w14:textId="77777777" w:rsidR="005D3AD5" w:rsidRDefault="005D3AD5" w:rsidP="005D3AD5">
            <w:pPr>
              <w:jc w:val="center"/>
            </w:pPr>
          </w:p>
        </w:tc>
      </w:tr>
      <w:tr w:rsidR="005D3AD5" w14:paraId="4512AFCE" w14:textId="77777777" w:rsidTr="00D03F92">
        <w:tc>
          <w:tcPr>
            <w:tcW w:w="1070" w:type="dxa"/>
          </w:tcPr>
          <w:p w14:paraId="6C32C0FB" w14:textId="3C138825" w:rsidR="005D3AD5" w:rsidRDefault="005D3AD5" w:rsidP="005D3AD5">
            <w:pPr>
              <w:jc w:val="center"/>
            </w:pPr>
            <w:r w:rsidRPr="00572EFA">
              <w:t>64</w:t>
            </w:r>
          </w:p>
        </w:tc>
        <w:tc>
          <w:tcPr>
            <w:tcW w:w="2460" w:type="dxa"/>
          </w:tcPr>
          <w:p w14:paraId="72223D17" w14:textId="50E8A973" w:rsidR="005D3AD5" w:rsidRDefault="005D3AD5" w:rsidP="005D3AD5">
            <w:pPr>
              <w:jc w:val="center"/>
            </w:pPr>
            <w:r w:rsidRPr="003A4732">
              <w:t>HIF 11</w:t>
            </w:r>
          </w:p>
        </w:tc>
        <w:tc>
          <w:tcPr>
            <w:tcW w:w="5820" w:type="dxa"/>
          </w:tcPr>
          <w:p w14:paraId="268E8861" w14:textId="1AF876DE" w:rsidR="005D3AD5" w:rsidRDefault="005D3AD5" w:rsidP="005D3AD5">
            <w:pPr>
              <w:jc w:val="center"/>
            </w:pPr>
            <w:r w:rsidRPr="00203FD3">
              <w:t>Amends prior session law to clarify that loans under prior authorizations may be refinanced.</w:t>
            </w:r>
          </w:p>
        </w:tc>
      </w:tr>
      <w:tr w:rsidR="005D3AD5" w14:paraId="7431CB94" w14:textId="77777777" w:rsidTr="00D03F92">
        <w:tc>
          <w:tcPr>
            <w:tcW w:w="1070" w:type="dxa"/>
          </w:tcPr>
          <w:p w14:paraId="78EF3F02" w14:textId="545AB800" w:rsidR="005D3AD5" w:rsidRDefault="005D3AD5" w:rsidP="005D3AD5">
            <w:pPr>
              <w:jc w:val="center"/>
            </w:pPr>
            <w:r w:rsidRPr="00572EFA">
              <w:t>65</w:t>
            </w:r>
          </w:p>
        </w:tc>
        <w:tc>
          <w:tcPr>
            <w:tcW w:w="2460" w:type="dxa"/>
          </w:tcPr>
          <w:p w14:paraId="0D513361" w14:textId="08B97E4B" w:rsidR="005D3AD5" w:rsidRDefault="005D3AD5" w:rsidP="005D3AD5">
            <w:pPr>
              <w:jc w:val="center"/>
            </w:pPr>
            <w:r w:rsidRPr="003A4732">
              <w:t>FCF 4</w:t>
            </w:r>
          </w:p>
        </w:tc>
        <w:tc>
          <w:tcPr>
            <w:tcW w:w="5820" w:type="dxa"/>
            <w:vMerge w:val="restart"/>
          </w:tcPr>
          <w:p w14:paraId="7F2CC941" w14:textId="48F4F2F9" w:rsidR="005D3AD5" w:rsidRDefault="005D3AD5" w:rsidP="005D3AD5">
            <w:pPr>
              <w:jc w:val="center"/>
            </w:pPr>
            <w:r w:rsidRPr="00203FD3">
              <w:t>Amends prior session law to clarify that an affordable housing restriction pursuant to a loan under this authorization may be transferred to an alternative property.</w:t>
            </w:r>
          </w:p>
        </w:tc>
      </w:tr>
      <w:tr w:rsidR="005D3AD5" w14:paraId="52BF4A64" w14:textId="77777777" w:rsidTr="00D03F92">
        <w:tc>
          <w:tcPr>
            <w:tcW w:w="1070" w:type="dxa"/>
          </w:tcPr>
          <w:p w14:paraId="355BEE78" w14:textId="3751B98F" w:rsidR="005D3AD5" w:rsidRDefault="005D3AD5" w:rsidP="005D3AD5">
            <w:pPr>
              <w:jc w:val="center"/>
            </w:pPr>
            <w:r w:rsidRPr="00572EFA">
              <w:t>66</w:t>
            </w:r>
          </w:p>
        </w:tc>
        <w:tc>
          <w:tcPr>
            <w:tcW w:w="2460" w:type="dxa"/>
          </w:tcPr>
          <w:p w14:paraId="22D83542" w14:textId="4F2EAABC" w:rsidR="005D3AD5" w:rsidRDefault="005D3AD5" w:rsidP="005D3AD5">
            <w:pPr>
              <w:jc w:val="center"/>
            </w:pPr>
            <w:r w:rsidRPr="003A4732">
              <w:t>FCF 5</w:t>
            </w:r>
          </w:p>
        </w:tc>
        <w:tc>
          <w:tcPr>
            <w:tcW w:w="5820" w:type="dxa"/>
            <w:vMerge/>
          </w:tcPr>
          <w:p w14:paraId="5B7FD946" w14:textId="77777777" w:rsidR="005D3AD5" w:rsidRDefault="005D3AD5" w:rsidP="005D3AD5">
            <w:pPr>
              <w:jc w:val="center"/>
            </w:pPr>
          </w:p>
        </w:tc>
      </w:tr>
      <w:tr w:rsidR="005D3AD5" w14:paraId="24E96885" w14:textId="77777777" w:rsidTr="00D03F92">
        <w:tc>
          <w:tcPr>
            <w:tcW w:w="1070" w:type="dxa"/>
          </w:tcPr>
          <w:p w14:paraId="0F95B0C1" w14:textId="55486975" w:rsidR="005D3AD5" w:rsidRDefault="005D3AD5" w:rsidP="005D3AD5">
            <w:pPr>
              <w:jc w:val="center"/>
            </w:pPr>
            <w:r w:rsidRPr="00572EFA">
              <w:t>67</w:t>
            </w:r>
          </w:p>
        </w:tc>
        <w:tc>
          <w:tcPr>
            <w:tcW w:w="2460" w:type="dxa"/>
          </w:tcPr>
          <w:p w14:paraId="7CAA8818" w14:textId="4C58BD92" w:rsidR="005D3AD5" w:rsidRDefault="005D3AD5" w:rsidP="005D3AD5">
            <w:pPr>
              <w:jc w:val="center"/>
            </w:pPr>
            <w:r w:rsidRPr="003A4732">
              <w:t>FCF 6</w:t>
            </w:r>
          </w:p>
        </w:tc>
        <w:tc>
          <w:tcPr>
            <w:tcW w:w="5820" w:type="dxa"/>
            <w:vMerge/>
          </w:tcPr>
          <w:p w14:paraId="3533F276" w14:textId="77777777" w:rsidR="005D3AD5" w:rsidRDefault="005D3AD5" w:rsidP="005D3AD5">
            <w:pPr>
              <w:jc w:val="center"/>
            </w:pPr>
          </w:p>
        </w:tc>
      </w:tr>
      <w:tr w:rsidR="005D3AD5" w14:paraId="53BF5D48" w14:textId="77777777" w:rsidTr="00D03F92">
        <w:tc>
          <w:tcPr>
            <w:tcW w:w="1070" w:type="dxa"/>
          </w:tcPr>
          <w:p w14:paraId="295B6D04" w14:textId="5602846B" w:rsidR="005D3AD5" w:rsidRDefault="005D3AD5" w:rsidP="005D3AD5">
            <w:pPr>
              <w:jc w:val="center"/>
            </w:pPr>
            <w:r w:rsidRPr="00572EFA">
              <w:t>68</w:t>
            </w:r>
          </w:p>
        </w:tc>
        <w:tc>
          <w:tcPr>
            <w:tcW w:w="2460" w:type="dxa"/>
          </w:tcPr>
          <w:p w14:paraId="3371FCDC" w14:textId="036D6AA0" w:rsidR="005D3AD5" w:rsidRDefault="005D3AD5" w:rsidP="005D3AD5">
            <w:pPr>
              <w:jc w:val="center"/>
            </w:pPr>
            <w:r w:rsidRPr="003A4732">
              <w:t>FCF 7</w:t>
            </w:r>
          </w:p>
        </w:tc>
        <w:tc>
          <w:tcPr>
            <w:tcW w:w="5820" w:type="dxa"/>
          </w:tcPr>
          <w:p w14:paraId="36FE458F" w14:textId="781A0981" w:rsidR="005D3AD5" w:rsidRDefault="005D3AD5" w:rsidP="005D3AD5">
            <w:pPr>
              <w:jc w:val="center"/>
            </w:pPr>
            <w:r w:rsidRPr="00203FD3">
              <w:t>Amends prior session law to clarify that loans under prior authorizations may be refinanced.</w:t>
            </w:r>
          </w:p>
        </w:tc>
      </w:tr>
      <w:tr w:rsidR="005D3AD5" w14:paraId="783A6B9F" w14:textId="77777777" w:rsidTr="00D03F92">
        <w:tc>
          <w:tcPr>
            <w:tcW w:w="1070" w:type="dxa"/>
          </w:tcPr>
          <w:p w14:paraId="6F6A874B" w14:textId="399EF1AF" w:rsidR="005D3AD5" w:rsidRDefault="005D3AD5" w:rsidP="005D3AD5">
            <w:pPr>
              <w:jc w:val="center"/>
            </w:pPr>
            <w:r w:rsidRPr="00572EFA">
              <w:lastRenderedPageBreak/>
              <w:t>69</w:t>
            </w:r>
          </w:p>
        </w:tc>
        <w:tc>
          <w:tcPr>
            <w:tcW w:w="2460" w:type="dxa"/>
          </w:tcPr>
          <w:p w14:paraId="64D536EA" w14:textId="17A034C6" w:rsidR="005D3AD5" w:rsidRDefault="005D3AD5" w:rsidP="005D3AD5">
            <w:pPr>
              <w:jc w:val="center"/>
            </w:pPr>
            <w:r w:rsidRPr="003A4732">
              <w:t>FCF 8</w:t>
            </w:r>
          </w:p>
        </w:tc>
        <w:tc>
          <w:tcPr>
            <w:tcW w:w="5820" w:type="dxa"/>
          </w:tcPr>
          <w:p w14:paraId="62A893C9" w14:textId="19EB8BE8" w:rsidR="005D3AD5" w:rsidRDefault="005D3AD5" w:rsidP="005D3AD5">
            <w:pPr>
              <w:jc w:val="center"/>
            </w:pPr>
            <w:r w:rsidRPr="00203FD3">
              <w:t>Amends prior session law to renumber subsection (8) to subsection (6).</w:t>
            </w:r>
          </w:p>
        </w:tc>
      </w:tr>
      <w:tr w:rsidR="005D3AD5" w14:paraId="4CFB7400" w14:textId="77777777" w:rsidTr="00D03F92">
        <w:tc>
          <w:tcPr>
            <w:tcW w:w="1070" w:type="dxa"/>
          </w:tcPr>
          <w:p w14:paraId="743F9849" w14:textId="21AAA73C" w:rsidR="005D3AD5" w:rsidRDefault="005D3AD5" w:rsidP="005D3AD5">
            <w:pPr>
              <w:jc w:val="center"/>
            </w:pPr>
            <w:r w:rsidRPr="00572EFA">
              <w:t>70</w:t>
            </w:r>
          </w:p>
        </w:tc>
        <w:tc>
          <w:tcPr>
            <w:tcW w:w="2460" w:type="dxa"/>
          </w:tcPr>
          <w:p w14:paraId="46C22D84" w14:textId="78154FB1" w:rsidR="005D3AD5" w:rsidRDefault="005D3AD5" w:rsidP="005D3AD5">
            <w:pPr>
              <w:jc w:val="center"/>
            </w:pPr>
            <w:r w:rsidRPr="003A4732">
              <w:t>FCF 9</w:t>
            </w:r>
          </w:p>
        </w:tc>
        <w:tc>
          <w:tcPr>
            <w:tcW w:w="5820" w:type="dxa"/>
          </w:tcPr>
          <w:p w14:paraId="22590AAE" w14:textId="7C630870" w:rsidR="005D3AD5" w:rsidRDefault="005D3AD5" w:rsidP="005D3AD5">
            <w:pPr>
              <w:jc w:val="center"/>
            </w:pPr>
            <w:r w:rsidRPr="00203FD3">
              <w:t>Amends prior session law to renumber subsection (9) to subsection (7).</w:t>
            </w:r>
          </w:p>
        </w:tc>
      </w:tr>
      <w:tr w:rsidR="005D3AD5" w14:paraId="77929F2D" w14:textId="77777777" w:rsidTr="00D03F92">
        <w:tc>
          <w:tcPr>
            <w:tcW w:w="1070" w:type="dxa"/>
          </w:tcPr>
          <w:p w14:paraId="659E0614" w14:textId="2ADE686A" w:rsidR="005D3AD5" w:rsidRDefault="005D3AD5" w:rsidP="005D3AD5">
            <w:pPr>
              <w:jc w:val="center"/>
            </w:pPr>
            <w:r w:rsidRPr="00572EFA">
              <w:t>71</w:t>
            </w:r>
          </w:p>
        </w:tc>
        <w:tc>
          <w:tcPr>
            <w:tcW w:w="2460" w:type="dxa"/>
          </w:tcPr>
          <w:p w14:paraId="7A5C248C" w14:textId="649F293E" w:rsidR="005D3AD5" w:rsidRDefault="005D3AD5" w:rsidP="005D3AD5">
            <w:pPr>
              <w:jc w:val="center"/>
            </w:pPr>
            <w:r w:rsidRPr="003A4732">
              <w:t>FCF 10</w:t>
            </w:r>
          </w:p>
        </w:tc>
        <w:tc>
          <w:tcPr>
            <w:tcW w:w="5820" w:type="dxa"/>
          </w:tcPr>
          <w:p w14:paraId="3BF315A8" w14:textId="7E47A3A0" w:rsidR="005D3AD5" w:rsidRDefault="005D3AD5" w:rsidP="005D3AD5">
            <w:pPr>
              <w:jc w:val="center"/>
            </w:pPr>
            <w:r w:rsidRPr="00203FD3">
              <w:t>Amends prior session law to renumber subsection (10) to subsection (8).</w:t>
            </w:r>
          </w:p>
        </w:tc>
      </w:tr>
      <w:tr w:rsidR="005D3AD5" w14:paraId="6FA551BB" w14:textId="77777777" w:rsidTr="00D03F92">
        <w:tc>
          <w:tcPr>
            <w:tcW w:w="1070" w:type="dxa"/>
          </w:tcPr>
          <w:p w14:paraId="4EF176AF" w14:textId="31586627" w:rsidR="005D3AD5" w:rsidRDefault="005D3AD5" w:rsidP="005D3AD5">
            <w:pPr>
              <w:jc w:val="center"/>
            </w:pPr>
            <w:r w:rsidRPr="00572EFA">
              <w:t>72</w:t>
            </w:r>
          </w:p>
        </w:tc>
        <w:tc>
          <w:tcPr>
            <w:tcW w:w="2460" w:type="dxa"/>
          </w:tcPr>
          <w:p w14:paraId="64D07C36" w14:textId="2B00B2E8" w:rsidR="003C02D2" w:rsidRDefault="003C02D2" w:rsidP="005D3AD5">
            <w:pPr>
              <w:jc w:val="center"/>
            </w:pPr>
            <w:r>
              <w:t xml:space="preserve">Community Based Housing </w:t>
            </w:r>
            <w:r w:rsidR="005B07AE">
              <w:t>1</w:t>
            </w:r>
          </w:p>
          <w:p w14:paraId="206302CD" w14:textId="5E9DBFB5" w:rsidR="005D3AD5" w:rsidRDefault="003C02D2" w:rsidP="005D3AD5">
            <w:pPr>
              <w:jc w:val="center"/>
            </w:pPr>
            <w:r>
              <w:t>(</w:t>
            </w:r>
            <w:r w:rsidR="005D3AD5" w:rsidRPr="003A4732">
              <w:t>CBH 1</w:t>
            </w:r>
            <w:r>
              <w:t>)</w:t>
            </w:r>
          </w:p>
        </w:tc>
        <w:tc>
          <w:tcPr>
            <w:tcW w:w="5820" w:type="dxa"/>
            <w:vMerge w:val="restart"/>
          </w:tcPr>
          <w:p w14:paraId="116F232E" w14:textId="1D5D238B" w:rsidR="005D3AD5" w:rsidRDefault="005D3AD5" w:rsidP="005D3AD5">
            <w:pPr>
              <w:jc w:val="center"/>
            </w:pPr>
            <w:r w:rsidRPr="00203FD3">
              <w:t>Amends prior session law to clarify that an affordable housing restriction pursuant to a loan under this authorization may be transferred to an alternative property.</w:t>
            </w:r>
          </w:p>
        </w:tc>
      </w:tr>
      <w:tr w:rsidR="005D3AD5" w14:paraId="2882DF6F" w14:textId="77777777" w:rsidTr="00D03F92">
        <w:tc>
          <w:tcPr>
            <w:tcW w:w="1070" w:type="dxa"/>
          </w:tcPr>
          <w:p w14:paraId="343D71B7" w14:textId="2753B020" w:rsidR="005D3AD5" w:rsidRDefault="005D3AD5" w:rsidP="005D3AD5">
            <w:pPr>
              <w:jc w:val="center"/>
            </w:pPr>
            <w:r w:rsidRPr="00572EFA">
              <w:t>73</w:t>
            </w:r>
          </w:p>
        </w:tc>
        <w:tc>
          <w:tcPr>
            <w:tcW w:w="2460" w:type="dxa"/>
          </w:tcPr>
          <w:p w14:paraId="344039D8" w14:textId="56E1EDA0" w:rsidR="005D3AD5" w:rsidRDefault="005D3AD5" w:rsidP="005D3AD5">
            <w:pPr>
              <w:jc w:val="center"/>
            </w:pPr>
            <w:r w:rsidRPr="003A4732">
              <w:t>CBH 2</w:t>
            </w:r>
          </w:p>
        </w:tc>
        <w:tc>
          <w:tcPr>
            <w:tcW w:w="5820" w:type="dxa"/>
            <w:vMerge/>
          </w:tcPr>
          <w:p w14:paraId="1EF7EE6F" w14:textId="77777777" w:rsidR="005D3AD5" w:rsidRDefault="005D3AD5" w:rsidP="005D3AD5">
            <w:pPr>
              <w:jc w:val="center"/>
            </w:pPr>
          </w:p>
        </w:tc>
      </w:tr>
      <w:tr w:rsidR="005D3AD5" w14:paraId="33D896BD" w14:textId="77777777" w:rsidTr="00D03F92">
        <w:tc>
          <w:tcPr>
            <w:tcW w:w="1070" w:type="dxa"/>
          </w:tcPr>
          <w:p w14:paraId="3FC26743" w14:textId="509879D1" w:rsidR="005D3AD5" w:rsidRDefault="005D3AD5" w:rsidP="005D3AD5">
            <w:pPr>
              <w:jc w:val="center"/>
            </w:pPr>
            <w:r w:rsidRPr="00572EFA">
              <w:t>74</w:t>
            </w:r>
          </w:p>
        </w:tc>
        <w:tc>
          <w:tcPr>
            <w:tcW w:w="2460" w:type="dxa"/>
          </w:tcPr>
          <w:p w14:paraId="20004930" w14:textId="3465FAE7" w:rsidR="005D3AD5" w:rsidRDefault="005D3AD5" w:rsidP="005D3AD5">
            <w:pPr>
              <w:jc w:val="center"/>
            </w:pPr>
            <w:r w:rsidRPr="003A4732">
              <w:t>CBH 3</w:t>
            </w:r>
          </w:p>
        </w:tc>
        <w:tc>
          <w:tcPr>
            <w:tcW w:w="5820" w:type="dxa"/>
            <w:vMerge/>
          </w:tcPr>
          <w:p w14:paraId="460473BB" w14:textId="77777777" w:rsidR="005D3AD5" w:rsidRDefault="005D3AD5" w:rsidP="005D3AD5">
            <w:pPr>
              <w:jc w:val="center"/>
            </w:pPr>
          </w:p>
        </w:tc>
      </w:tr>
      <w:tr w:rsidR="005D3AD5" w14:paraId="609A1761" w14:textId="77777777" w:rsidTr="00D03F92">
        <w:tc>
          <w:tcPr>
            <w:tcW w:w="1070" w:type="dxa"/>
          </w:tcPr>
          <w:p w14:paraId="171BA748" w14:textId="048617A1" w:rsidR="005D3AD5" w:rsidRDefault="005D3AD5" w:rsidP="005D3AD5">
            <w:pPr>
              <w:jc w:val="center"/>
            </w:pPr>
            <w:r w:rsidRPr="00572EFA">
              <w:t>75</w:t>
            </w:r>
          </w:p>
        </w:tc>
        <w:tc>
          <w:tcPr>
            <w:tcW w:w="2460" w:type="dxa"/>
          </w:tcPr>
          <w:p w14:paraId="1AED27BC" w14:textId="47573959" w:rsidR="005D3AD5" w:rsidRDefault="005D3AD5" w:rsidP="005D3AD5">
            <w:pPr>
              <w:jc w:val="center"/>
            </w:pPr>
            <w:r w:rsidRPr="003A4732">
              <w:t>CBH 4</w:t>
            </w:r>
          </w:p>
        </w:tc>
        <w:tc>
          <w:tcPr>
            <w:tcW w:w="5820" w:type="dxa"/>
          </w:tcPr>
          <w:p w14:paraId="171A2214" w14:textId="19294D10" w:rsidR="005D3AD5" w:rsidRDefault="005D3AD5" w:rsidP="005D3AD5">
            <w:pPr>
              <w:jc w:val="center"/>
            </w:pPr>
            <w:r w:rsidRPr="00203FD3">
              <w:t>Amends prior session law to clarify that loans under prior authorizations may be refinanced.</w:t>
            </w:r>
          </w:p>
        </w:tc>
      </w:tr>
      <w:tr w:rsidR="005D3AD5" w14:paraId="6D309E36" w14:textId="77777777" w:rsidTr="00D03F92">
        <w:tc>
          <w:tcPr>
            <w:tcW w:w="1070" w:type="dxa"/>
          </w:tcPr>
          <w:p w14:paraId="127FD456" w14:textId="274520A8" w:rsidR="005D3AD5" w:rsidRDefault="005D3AD5" w:rsidP="005D3AD5">
            <w:pPr>
              <w:jc w:val="center"/>
            </w:pPr>
            <w:r w:rsidRPr="00572EFA">
              <w:t>76</w:t>
            </w:r>
          </w:p>
        </w:tc>
        <w:tc>
          <w:tcPr>
            <w:tcW w:w="2460" w:type="dxa"/>
          </w:tcPr>
          <w:p w14:paraId="4D019087" w14:textId="783FE578" w:rsidR="005D3AD5" w:rsidRDefault="005D3AD5" w:rsidP="005D3AD5">
            <w:pPr>
              <w:jc w:val="center"/>
            </w:pPr>
            <w:r w:rsidRPr="003A4732">
              <w:t>CBH 5</w:t>
            </w:r>
          </w:p>
        </w:tc>
        <w:tc>
          <w:tcPr>
            <w:tcW w:w="5820" w:type="dxa"/>
          </w:tcPr>
          <w:p w14:paraId="5012681A" w14:textId="607E0FD0" w:rsidR="005D3AD5" w:rsidRDefault="005D3AD5" w:rsidP="005D3AD5">
            <w:pPr>
              <w:jc w:val="center"/>
            </w:pPr>
            <w:r w:rsidRPr="00203FD3">
              <w:t>Amends prior session law to renumber subsection (8) to subsection (6).</w:t>
            </w:r>
          </w:p>
        </w:tc>
      </w:tr>
      <w:tr w:rsidR="005D3AD5" w14:paraId="1D456F15" w14:textId="77777777" w:rsidTr="00D03F92">
        <w:tc>
          <w:tcPr>
            <w:tcW w:w="1070" w:type="dxa"/>
          </w:tcPr>
          <w:p w14:paraId="7D32659D" w14:textId="2202841B" w:rsidR="005D3AD5" w:rsidRDefault="005D3AD5" w:rsidP="005D3AD5">
            <w:pPr>
              <w:jc w:val="center"/>
            </w:pPr>
            <w:r w:rsidRPr="00572EFA">
              <w:t>77</w:t>
            </w:r>
          </w:p>
        </w:tc>
        <w:tc>
          <w:tcPr>
            <w:tcW w:w="2460" w:type="dxa"/>
          </w:tcPr>
          <w:p w14:paraId="11713CBD" w14:textId="46531A24" w:rsidR="005D3AD5" w:rsidRDefault="005D3AD5" w:rsidP="005D3AD5">
            <w:pPr>
              <w:jc w:val="center"/>
            </w:pPr>
            <w:r w:rsidRPr="003A4732">
              <w:t>CBH 6</w:t>
            </w:r>
          </w:p>
        </w:tc>
        <w:tc>
          <w:tcPr>
            <w:tcW w:w="5820" w:type="dxa"/>
          </w:tcPr>
          <w:p w14:paraId="4033C626" w14:textId="5F3196D2" w:rsidR="005D3AD5" w:rsidRDefault="005D3AD5" w:rsidP="005D3AD5">
            <w:pPr>
              <w:jc w:val="center"/>
            </w:pPr>
            <w:r w:rsidRPr="00203FD3">
              <w:t>Amends prior session law to renumber subsection (9) to subsection (7).</w:t>
            </w:r>
          </w:p>
        </w:tc>
      </w:tr>
      <w:tr w:rsidR="005D3AD5" w14:paraId="52876260" w14:textId="77777777" w:rsidTr="00D03F92">
        <w:tc>
          <w:tcPr>
            <w:tcW w:w="1070" w:type="dxa"/>
          </w:tcPr>
          <w:p w14:paraId="0BC332DA" w14:textId="5592C6B1" w:rsidR="005D3AD5" w:rsidRDefault="005D3AD5" w:rsidP="005D3AD5">
            <w:pPr>
              <w:jc w:val="center"/>
            </w:pPr>
            <w:r w:rsidRPr="00572EFA">
              <w:t>78</w:t>
            </w:r>
          </w:p>
        </w:tc>
        <w:tc>
          <w:tcPr>
            <w:tcW w:w="2460" w:type="dxa"/>
          </w:tcPr>
          <w:p w14:paraId="5A828DD7" w14:textId="7D1EA021" w:rsidR="005D3AD5" w:rsidRDefault="005D3AD5" w:rsidP="005D3AD5">
            <w:pPr>
              <w:jc w:val="center"/>
            </w:pPr>
            <w:r w:rsidRPr="003A4732">
              <w:t>CBH 7</w:t>
            </w:r>
          </w:p>
        </w:tc>
        <w:tc>
          <w:tcPr>
            <w:tcW w:w="5820" w:type="dxa"/>
          </w:tcPr>
          <w:p w14:paraId="5D88573B" w14:textId="0C73E496" w:rsidR="005D3AD5" w:rsidRDefault="005D3AD5" w:rsidP="005D3AD5">
            <w:pPr>
              <w:jc w:val="center"/>
            </w:pPr>
            <w:r w:rsidRPr="00203FD3">
              <w:t>Amends prior session law to renumber subsection (10) to subsection (8).</w:t>
            </w:r>
          </w:p>
        </w:tc>
      </w:tr>
      <w:tr w:rsidR="005D3AD5" w14:paraId="4F91EBB3" w14:textId="77777777" w:rsidTr="00D03F92">
        <w:tc>
          <w:tcPr>
            <w:tcW w:w="1070" w:type="dxa"/>
          </w:tcPr>
          <w:p w14:paraId="2ED5E4F4" w14:textId="7ADD47B1" w:rsidR="005D3AD5" w:rsidRDefault="005D3AD5" w:rsidP="005D3AD5">
            <w:pPr>
              <w:jc w:val="center"/>
            </w:pPr>
            <w:r w:rsidRPr="00572EFA">
              <w:t>79</w:t>
            </w:r>
          </w:p>
        </w:tc>
        <w:tc>
          <w:tcPr>
            <w:tcW w:w="2460" w:type="dxa"/>
          </w:tcPr>
          <w:p w14:paraId="5EBD2394" w14:textId="1AF21604" w:rsidR="005D3AD5" w:rsidRDefault="005D3AD5" w:rsidP="005D3AD5">
            <w:pPr>
              <w:jc w:val="center"/>
            </w:pPr>
            <w:r w:rsidRPr="003A4732">
              <w:t>HIF 12</w:t>
            </w:r>
          </w:p>
        </w:tc>
        <w:tc>
          <w:tcPr>
            <w:tcW w:w="5820" w:type="dxa"/>
          </w:tcPr>
          <w:p w14:paraId="190AD4C9" w14:textId="5515105A" w:rsidR="005D3AD5" w:rsidRDefault="005D3AD5" w:rsidP="005D3AD5">
            <w:pPr>
              <w:jc w:val="center"/>
            </w:pPr>
            <w:r w:rsidRPr="00203FD3">
              <w:t>Amends prior session law to add phrase "as amended" to provision regarding establishment of HIF program.</w:t>
            </w:r>
          </w:p>
        </w:tc>
      </w:tr>
      <w:tr w:rsidR="005D3AD5" w14:paraId="0EDF9ACF" w14:textId="77777777" w:rsidTr="00D03F92">
        <w:tc>
          <w:tcPr>
            <w:tcW w:w="1070" w:type="dxa"/>
          </w:tcPr>
          <w:p w14:paraId="2C0C1336" w14:textId="161457E0" w:rsidR="005D3AD5" w:rsidRDefault="005D3AD5" w:rsidP="005D3AD5">
            <w:pPr>
              <w:jc w:val="center"/>
            </w:pPr>
            <w:r w:rsidRPr="00572EFA">
              <w:t>80</w:t>
            </w:r>
          </w:p>
        </w:tc>
        <w:tc>
          <w:tcPr>
            <w:tcW w:w="2460" w:type="dxa"/>
          </w:tcPr>
          <w:p w14:paraId="6649C8A5" w14:textId="54434D07" w:rsidR="005D3AD5" w:rsidRDefault="005D3AD5" w:rsidP="005D3AD5">
            <w:pPr>
              <w:jc w:val="center"/>
            </w:pPr>
            <w:r w:rsidRPr="003A4732">
              <w:t>FCF 11</w:t>
            </w:r>
          </w:p>
        </w:tc>
        <w:tc>
          <w:tcPr>
            <w:tcW w:w="5820" w:type="dxa"/>
            <w:vMerge w:val="restart"/>
          </w:tcPr>
          <w:p w14:paraId="37A34D77" w14:textId="24213FF0" w:rsidR="005D3AD5" w:rsidRDefault="005D3AD5" w:rsidP="005D3AD5">
            <w:pPr>
              <w:jc w:val="center"/>
            </w:pPr>
            <w:r w:rsidRPr="00203FD3">
              <w:t>Amends prior session law to clarify that an affordable housing restriction pursuant to a loan under this authorization may be transferred to an alternative property.</w:t>
            </w:r>
          </w:p>
        </w:tc>
      </w:tr>
      <w:tr w:rsidR="005D3AD5" w14:paraId="6796DB14" w14:textId="77777777" w:rsidTr="00D03F92">
        <w:tc>
          <w:tcPr>
            <w:tcW w:w="1070" w:type="dxa"/>
          </w:tcPr>
          <w:p w14:paraId="3342C31A" w14:textId="257BE88B" w:rsidR="005D3AD5" w:rsidRDefault="005D3AD5" w:rsidP="005D3AD5">
            <w:pPr>
              <w:jc w:val="center"/>
            </w:pPr>
            <w:r w:rsidRPr="00572EFA">
              <w:t>81</w:t>
            </w:r>
          </w:p>
        </w:tc>
        <w:tc>
          <w:tcPr>
            <w:tcW w:w="2460" w:type="dxa"/>
          </w:tcPr>
          <w:p w14:paraId="2343965D" w14:textId="34EEDA83" w:rsidR="005D3AD5" w:rsidRDefault="005D3AD5" w:rsidP="005D3AD5">
            <w:pPr>
              <w:jc w:val="center"/>
            </w:pPr>
            <w:r w:rsidRPr="003A4732">
              <w:t>FCF 12</w:t>
            </w:r>
          </w:p>
        </w:tc>
        <w:tc>
          <w:tcPr>
            <w:tcW w:w="5820" w:type="dxa"/>
            <w:vMerge/>
          </w:tcPr>
          <w:p w14:paraId="72EC200F" w14:textId="77777777" w:rsidR="005D3AD5" w:rsidRDefault="005D3AD5" w:rsidP="005D3AD5">
            <w:pPr>
              <w:jc w:val="center"/>
            </w:pPr>
          </w:p>
        </w:tc>
      </w:tr>
      <w:tr w:rsidR="005D3AD5" w14:paraId="492265EF" w14:textId="77777777" w:rsidTr="00D03F92">
        <w:tc>
          <w:tcPr>
            <w:tcW w:w="1070" w:type="dxa"/>
          </w:tcPr>
          <w:p w14:paraId="215F8361" w14:textId="1D94F0DE" w:rsidR="005D3AD5" w:rsidRDefault="005D3AD5" w:rsidP="005D3AD5">
            <w:pPr>
              <w:jc w:val="center"/>
            </w:pPr>
            <w:r w:rsidRPr="00572EFA">
              <w:t>82</w:t>
            </w:r>
          </w:p>
        </w:tc>
        <w:tc>
          <w:tcPr>
            <w:tcW w:w="2460" w:type="dxa"/>
          </w:tcPr>
          <w:p w14:paraId="683FF667" w14:textId="4A41ACAE" w:rsidR="005D3AD5" w:rsidRDefault="005D3AD5" w:rsidP="005D3AD5">
            <w:pPr>
              <w:jc w:val="center"/>
            </w:pPr>
            <w:r w:rsidRPr="003A4732">
              <w:t>FCF 13</w:t>
            </w:r>
          </w:p>
        </w:tc>
        <w:tc>
          <w:tcPr>
            <w:tcW w:w="5820" w:type="dxa"/>
            <w:vMerge/>
          </w:tcPr>
          <w:p w14:paraId="78DCC945" w14:textId="77777777" w:rsidR="005D3AD5" w:rsidRDefault="005D3AD5" w:rsidP="005D3AD5">
            <w:pPr>
              <w:jc w:val="center"/>
            </w:pPr>
          </w:p>
        </w:tc>
      </w:tr>
      <w:tr w:rsidR="005D3AD5" w14:paraId="22ADECA2" w14:textId="77777777" w:rsidTr="00D03F92">
        <w:tc>
          <w:tcPr>
            <w:tcW w:w="1070" w:type="dxa"/>
          </w:tcPr>
          <w:p w14:paraId="47AD640E" w14:textId="75E93C5A" w:rsidR="005D3AD5" w:rsidRDefault="005D3AD5" w:rsidP="005D3AD5">
            <w:pPr>
              <w:jc w:val="center"/>
            </w:pPr>
            <w:r w:rsidRPr="00572EFA">
              <w:t>83</w:t>
            </w:r>
          </w:p>
        </w:tc>
        <w:tc>
          <w:tcPr>
            <w:tcW w:w="2460" w:type="dxa"/>
          </w:tcPr>
          <w:p w14:paraId="61E44BF2" w14:textId="548A67ED" w:rsidR="005D3AD5" w:rsidRDefault="005D3AD5" w:rsidP="005D3AD5">
            <w:pPr>
              <w:jc w:val="center"/>
            </w:pPr>
            <w:r w:rsidRPr="003A4732">
              <w:t>FCF 14</w:t>
            </w:r>
          </w:p>
        </w:tc>
        <w:tc>
          <w:tcPr>
            <w:tcW w:w="5820" w:type="dxa"/>
          </w:tcPr>
          <w:p w14:paraId="0E425B1C" w14:textId="2A9E9B9A" w:rsidR="005D3AD5" w:rsidRDefault="005D3AD5" w:rsidP="005D3AD5">
            <w:pPr>
              <w:jc w:val="center"/>
            </w:pPr>
            <w:r w:rsidRPr="00203FD3">
              <w:t>Amends prior session law to clarify that loans under prior authorizations may be refinanced.</w:t>
            </w:r>
          </w:p>
        </w:tc>
      </w:tr>
      <w:tr w:rsidR="005D3AD5" w14:paraId="204DCFBE" w14:textId="77777777" w:rsidTr="00D03F92">
        <w:tc>
          <w:tcPr>
            <w:tcW w:w="1070" w:type="dxa"/>
          </w:tcPr>
          <w:p w14:paraId="055BC3D1" w14:textId="0FBD4262" w:rsidR="005D3AD5" w:rsidRDefault="005D3AD5" w:rsidP="005D3AD5">
            <w:pPr>
              <w:jc w:val="center"/>
            </w:pPr>
            <w:r w:rsidRPr="00572EFA">
              <w:t>84</w:t>
            </w:r>
          </w:p>
        </w:tc>
        <w:tc>
          <w:tcPr>
            <w:tcW w:w="2460" w:type="dxa"/>
          </w:tcPr>
          <w:p w14:paraId="2C73EEE9" w14:textId="5CC1CB55" w:rsidR="005D3AD5" w:rsidRDefault="005D3AD5" w:rsidP="005D3AD5">
            <w:pPr>
              <w:jc w:val="center"/>
            </w:pPr>
            <w:r w:rsidRPr="003A4732">
              <w:t>CBH 8</w:t>
            </w:r>
          </w:p>
        </w:tc>
        <w:tc>
          <w:tcPr>
            <w:tcW w:w="5820" w:type="dxa"/>
            <w:vMerge w:val="restart"/>
          </w:tcPr>
          <w:p w14:paraId="76A12D25" w14:textId="21C42C61" w:rsidR="005D3AD5" w:rsidRDefault="005D3AD5" w:rsidP="005D3AD5">
            <w:pPr>
              <w:jc w:val="center"/>
            </w:pPr>
            <w:r w:rsidRPr="00203FD3">
              <w:t>Amends prior session law to clarify that an affordable housing restriction pursuant to a loan under this authorization may be transferred to an alternative property.</w:t>
            </w:r>
          </w:p>
        </w:tc>
      </w:tr>
      <w:tr w:rsidR="005D3AD5" w14:paraId="7CBFA474" w14:textId="77777777" w:rsidTr="00D03F92">
        <w:tc>
          <w:tcPr>
            <w:tcW w:w="1070" w:type="dxa"/>
          </w:tcPr>
          <w:p w14:paraId="642763B1" w14:textId="6AA85C7A" w:rsidR="005D3AD5" w:rsidRDefault="005D3AD5" w:rsidP="005D3AD5">
            <w:pPr>
              <w:jc w:val="center"/>
            </w:pPr>
            <w:r w:rsidRPr="00572EFA">
              <w:t>85</w:t>
            </w:r>
          </w:p>
        </w:tc>
        <w:tc>
          <w:tcPr>
            <w:tcW w:w="2460" w:type="dxa"/>
          </w:tcPr>
          <w:p w14:paraId="56287BEE" w14:textId="11A26CB9" w:rsidR="005D3AD5" w:rsidRDefault="005D3AD5" w:rsidP="005D3AD5">
            <w:pPr>
              <w:jc w:val="center"/>
            </w:pPr>
            <w:r w:rsidRPr="003A4732">
              <w:t>CBH 9</w:t>
            </w:r>
          </w:p>
        </w:tc>
        <w:tc>
          <w:tcPr>
            <w:tcW w:w="5820" w:type="dxa"/>
            <w:vMerge/>
          </w:tcPr>
          <w:p w14:paraId="6A273240" w14:textId="77777777" w:rsidR="005D3AD5" w:rsidRDefault="005D3AD5" w:rsidP="005D3AD5">
            <w:pPr>
              <w:jc w:val="center"/>
            </w:pPr>
          </w:p>
        </w:tc>
      </w:tr>
      <w:tr w:rsidR="005D3AD5" w14:paraId="5157C07D" w14:textId="77777777" w:rsidTr="00D03F92">
        <w:tc>
          <w:tcPr>
            <w:tcW w:w="1070" w:type="dxa"/>
          </w:tcPr>
          <w:p w14:paraId="5F14E2DC" w14:textId="57F09AF9" w:rsidR="005D3AD5" w:rsidRDefault="005D3AD5" w:rsidP="005D3AD5">
            <w:pPr>
              <w:jc w:val="center"/>
            </w:pPr>
            <w:r w:rsidRPr="00572EFA">
              <w:t>86</w:t>
            </w:r>
          </w:p>
        </w:tc>
        <w:tc>
          <w:tcPr>
            <w:tcW w:w="2460" w:type="dxa"/>
          </w:tcPr>
          <w:p w14:paraId="3F500157" w14:textId="1F31BDD1" w:rsidR="005D3AD5" w:rsidRDefault="005D3AD5" w:rsidP="005D3AD5">
            <w:pPr>
              <w:jc w:val="center"/>
            </w:pPr>
            <w:r w:rsidRPr="003A4732">
              <w:t>CBH 10</w:t>
            </w:r>
          </w:p>
        </w:tc>
        <w:tc>
          <w:tcPr>
            <w:tcW w:w="5820" w:type="dxa"/>
            <w:vMerge/>
          </w:tcPr>
          <w:p w14:paraId="7B504443" w14:textId="77777777" w:rsidR="005D3AD5" w:rsidRDefault="005D3AD5" w:rsidP="005D3AD5">
            <w:pPr>
              <w:jc w:val="center"/>
            </w:pPr>
          </w:p>
        </w:tc>
      </w:tr>
      <w:tr w:rsidR="005D3AD5" w14:paraId="2522FAFA" w14:textId="77777777" w:rsidTr="00D03F92">
        <w:tc>
          <w:tcPr>
            <w:tcW w:w="1070" w:type="dxa"/>
          </w:tcPr>
          <w:p w14:paraId="2E8068E2" w14:textId="44761674" w:rsidR="005D3AD5" w:rsidRDefault="005D3AD5" w:rsidP="005D3AD5">
            <w:pPr>
              <w:jc w:val="center"/>
            </w:pPr>
            <w:r w:rsidRPr="00572EFA">
              <w:t>87</w:t>
            </w:r>
          </w:p>
        </w:tc>
        <w:tc>
          <w:tcPr>
            <w:tcW w:w="2460" w:type="dxa"/>
          </w:tcPr>
          <w:p w14:paraId="0F44680B" w14:textId="524BAEC6" w:rsidR="005D3AD5" w:rsidRDefault="005D3AD5" w:rsidP="005D3AD5">
            <w:pPr>
              <w:jc w:val="center"/>
            </w:pPr>
            <w:r w:rsidRPr="003A4732">
              <w:t>CBH 11</w:t>
            </w:r>
          </w:p>
        </w:tc>
        <w:tc>
          <w:tcPr>
            <w:tcW w:w="5820" w:type="dxa"/>
          </w:tcPr>
          <w:p w14:paraId="4E581B7A" w14:textId="7DE73903" w:rsidR="005D3AD5" w:rsidRDefault="005D3AD5" w:rsidP="005D3AD5">
            <w:pPr>
              <w:jc w:val="center"/>
            </w:pPr>
            <w:r w:rsidRPr="00203FD3">
              <w:t>Amends prior session law to clarify that loans under prior authorizations may be refinanced.</w:t>
            </w:r>
          </w:p>
        </w:tc>
      </w:tr>
      <w:tr w:rsidR="005D3AD5" w14:paraId="76D0E595" w14:textId="77777777" w:rsidTr="00D03F92">
        <w:tc>
          <w:tcPr>
            <w:tcW w:w="1070" w:type="dxa"/>
          </w:tcPr>
          <w:p w14:paraId="4A0312A0" w14:textId="01482B5F" w:rsidR="005D3AD5" w:rsidRDefault="005D3AD5" w:rsidP="005D3AD5">
            <w:pPr>
              <w:jc w:val="center"/>
            </w:pPr>
            <w:r w:rsidRPr="00572EFA">
              <w:t>88</w:t>
            </w:r>
          </w:p>
        </w:tc>
        <w:tc>
          <w:tcPr>
            <w:tcW w:w="2460" w:type="dxa"/>
          </w:tcPr>
          <w:p w14:paraId="72EE5ABD" w14:textId="3C7CD672" w:rsidR="005D3AD5" w:rsidRDefault="005D3AD5" w:rsidP="005D3AD5">
            <w:pPr>
              <w:jc w:val="center"/>
            </w:pPr>
            <w:r w:rsidRPr="003A4732">
              <w:t>CITC 3</w:t>
            </w:r>
          </w:p>
        </w:tc>
        <w:tc>
          <w:tcPr>
            <w:tcW w:w="5820" w:type="dxa"/>
          </w:tcPr>
          <w:p w14:paraId="3D1C03F7" w14:textId="2A8315A3" w:rsidR="005D3AD5" w:rsidRDefault="005D3AD5" w:rsidP="005D3AD5">
            <w:pPr>
              <w:jc w:val="center"/>
            </w:pPr>
            <w:r w:rsidRPr="00203FD3">
              <w:t>Repeals CITC sunset date</w:t>
            </w:r>
          </w:p>
        </w:tc>
      </w:tr>
      <w:tr w:rsidR="000B5017" w14:paraId="6D7749DF" w14:textId="77777777" w:rsidTr="00D03F92">
        <w:tc>
          <w:tcPr>
            <w:tcW w:w="1070" w:type="dxa"/>
          </w:tcPr>
          <w:p w14:paraId="47047093" w14:textId="48B49D13" w:rsidR="000B5017" w:rsidRDefault="000B5017" w:rsidP="005D3AD5">
            <w:pPr>
              <w:jc w:val="center"/>
            </w:pPr>
            <w:r w:rsidRPr="00572EFA">
              <w:t>89</w:t>
            </w:r>
          </w:p>
        </w:tc>
        <w:tc>
          <w:tcPr>
            <w:tcW w:w="2460" w:type="dxa"/>
          </w:tcPr>
          <w:p w14:paraId="105FA387" w14:textId="1C3B9833" w:rsidR="000B5017" w:rsidRDefault="000B5017" w:rsidP="005D3AD5">
            <w:pPr>
              <w:jc w:val="center"/>
            </w:pPr>
            <w:r w:rsidRPr="003A4732">
              <w:t>FCF 15</w:t>
            </w:r>
          </w:p>
        </w:tc>
        <w:tc>
          <w:tcPr>
            <w:tcW w:w="5820" w:type="dxa"/>
            <w:vMerge w:val="restart"/>
          </w:tcPr>
          <w:p w14:paraId="401129A4" w14:textId="01E1D746" w:rsidR="000B5017" w:rsidRDefault="000B5017" w:rsidP="005D3AD5">
            <w:pPr>
              <w:jc w:val="center"/>
            </w:pPr>
            <w:r w:rsidRPr="00203FD3">
              <w:t>Amends prior session law to clarify that an affordable housing restriction pursuant to a loan under this authorization may be transferred to an alternative property.</w:t>
            </w:r>
          </w:p>
        </w:tc>
      </w:tr>
      <w:tr w:rsidR="000B5017" w14:paraId="1827BCFE" w14:textId="77777777" w:rsidTr="00D03F92">
        <w:tc>
          <w:tcPr>
            <w:tcW w:w="1070" w:type="dxa"/>
          </w:tcPr>
          <w:p w14:paraId="1459F34A" w14:textId="53FAB945" w:rsidR="000B5017" w:rsidRDefault="000B5017" w:rsidP="005D3AD5">
            <w:pPr>
              <w:jc w:val="center"/>
            </w:pPr>
            <w:r w:rsidRPr="00572EFA">
              <w:t>90</w:t>
            </w:r>
          </w:p>
        </w:tc>
        <w:tc>
          <w:tcPr>
            <w:tcW w:w="2460" w:type="dxa"/>
          </w:tcPr>
          <w:p w14:paraId="59D71A59" w14:textId="354AACA0" w:rsidR="000B5017" w:rsidRDefault="000B5017" w:rsidP="005D3AD5">
            <w:pPr>
              <w:jc w:val="center"/>
            </w:pPr>
            <w:r w:rsidRPr="003A4732">
              <w:t>FCF 16</w:t>
            </w:r>
          </w:p>
        </w:tc>
        <w:tc>
          <w:tcPr>
            <w:tcW w:w="5820" w:type="dxa"/>
            <w:vMerge/>
          </w:tcPr>
          <w:p w14:paraId="2C1AB893" w14:textId="77777777" w:rsidR="000B5017" w:rsidRDefault="000B5017" w:rsidP="005D3AD5">
            <w:pPr>
              <w:jc w:val="center"/>
            </w:pPr>
          </w:p>
        </w:tc>
      </w:tr>
      <w:tr w:rsidR="000B5017" w14:paraId="36748CC4" w14:textId="77777777" w:rsidTr="00D03F92">
        <w:tc>
          <w:tcPr>
            <w:tcW w:w="1070" w:type="dxa"/>
          </w:tcPr>
          <w:p w14:paraId="478A0ABB" w14:textId="54A2696D" w:rsidR="000B5017" w:rsidRDefault="000B5017" w:rsidP="005D3AD5">
            <w:pPr>
              <w:jc w:val="center"/>
            </w:pPr>
            <w:r w:rsidRPr="00572EFA">
              <w:t>91</w:t>
            </w:r>
          </w:p>
        </w:tc>
        <w:tc>
          <w:tcPr>
            <w:tcW w:w="2460" w:type="dxa"/>
          </w:tcPr>
          <w:p w14:paraId="15CA7317" w14:textId="0CCD56A3" w:rsidR="000B5017" w:rsidRDefault="000B5017" w:rsidP="005D3AD5">
            <w:pPr>
              <w:jc w:val="center"/>
            </w:pPr>
            <w:r w:rsidRPr="003A4732">
              <w:t>FCF 17</w:t>
            </w:r>
          </w:p>
        </w:tc>
        <w:tc>
          <w:tcPr>
            <w:tcW w:w="5820" w:type="dxa"/>
            <w:vMerge/>
          </w:tcPr>
          <w:p w14:paraId="12ADF3F4" w14:textId="77777777" w:rsidR="000B5017" w:rsidRDefault="000B5017" w:rsidP="005D3AD5">
            <w:pPr>
              <w:jc w:val="center"/>
            </w:pPr>
          </w:p>
        </w:tc>
      </w:tr>
      <w:tr w:rsidR="005D3AD5" w14:paraId="4E057675" w14:textId="77777777" w:rsidTr="00D03F92">
        <w:tc>
          <w:tcPr>
            <w:tcW w:w="1070" w:type="dxa"/>
          </w:tcPr>
          <w:p w14:paraId="30490CBA" w14:textId="75B360DF" w:rsidR="005D3AD5" w:rsidRDefault="005D3AD5" w:rsidP="005D3AD5">
            <w:pPr>
              <w:jc w:val="center"/>
            </w:pPr>
            <w:r w:rsidRPr="00572EFA">
              <w:t>92</w:t>
            </w:r>
          </w:p>
        </w:tc>
        <w:tc>
          <w:tcPr>
            <w:tcW w:w="2460" w:type="dxa"/>
          </w:tcPr>
          <w:p w14:paraId="7D7A0705" w14:textId="3C815CE5" w:rsidR="005D3AD5" w:rsidRDefault="005D3AD5" w:rsidP="005D3AD5">
            <w:pPr>
              <w:jc w:val="center"/>
            </w:pPr>
            <w:r w:rsidRPr="003A4732">
              <w:t>CBH 12</w:t>
            </w:r>
          </w:p>
        </w:tc>
        <w:tc>
          <w:tcPr>
            <w:tcW w:w="5820" w:type="dxa"/>
          </w:tcPr>
          <w:p w14:paraId="4D6C47A5" w14:textId="64E0E04B" w:rsidR="005D3AD5" w:rsidRDefault="000B5017" w:rsidP="005D3AD5">
            <w:pPr>
              <w:jc w:val="center"/>
            </w:pPr>
            <w:r w:rsidRPr="00203FD3">
              <w:t>Amends prior session law to clarify that an affordable housing restriction pursuant to a loan under this authorization may be transferred to an alternative property.</w:t>
            </w:r>
          </w:p>
        </w:tc>
      </w:tr>
      <w:tr w:rsidR="000B5017" w14:paraId="27630095" w14:textId="77777777" w:rsidTr="00D03F92">
        <w:tc>
          <w:tcPr>
            <w:tcW w:w="1070" w:type="dxa"/>
          </w:tcPr>
          <w:p w14:paraId="429E4776" w14:textId="7D9848E3" w:rsidR="000B5017" w:rsidRDefault="000B5017" w:rsidP="005D3AD5">
            <w:pPr>
              <w:jc w:val="center"/>
            </w:pPr>
            <w:r w:rsidRPr="00572EFA">
              <w:t>93</w:t>
            </w:r>
          </w:p>
        </w:tc>
        <w:tc>
          <w:tcPr>
            <w:tcW w:w="2460" w:type="dxa"/>
          </w:tcPr>
          <w:p w14:paraId="4D28555B" w14:textId="49D58113" w:rsidR="000B5017" w:rsidRDefault="000B5017" w:rsidP="005D3AD5">
            <w:pPr>
              <w:jc w:val="center"/>
            </w:pPr>
            <w:r w:rsidRPr="003A4732">
              <w:t>CBH 13</w:t>
            </w:r>
          </w:p>
        </w:tc>
        <w:tc>
          <w:tcPr>
            <w:tcW w:w="5820" w:type="dxa"/>
            <w:vMerge w:val="restart"/>
          </w:tcPr>
          <w:p w14:paraId="1F5F5595" w14:textId="500C4FBA" w:rsidR="000B5017" w:rsidRDefault="000B5017" w:rsidP="005D3AD5">
            <w:pPr>
              <w:jc w:val="center"/>
            </w:pPr>
            <w:r w:rsidRPr="00203FD3">
              <w:t>Amends prior session law to clarify that an affordable housing restriction pursuant to a loan under this authorization may be transferred to an alternative property.</w:t>
            </w:r>
          </w:p>
        </w:tc>
      </w:tr>
      <w:tr w:rsidR="000B5017" w14:paraId="4597C852" w14:textId="77777777" w:rsidTr="00D03F92">
        <w:tc>
          <w:tcPr>
            <w:tcW w:w="1070" w:type="dxa"/>
          </w:tcPr>
          <w:p w14:paraId="1C1A2A99" w14:textId="563132A9" w:rsidR="000B5017" w:rsidRDefault="000B5017" w:rsidP="005D3AD5">
            <w:pPr>
              <w:jc w:val="center"/>
            </w:pPr>
            <w:r w:rsidRPr="00572EFA">
              <w:t>94</w:t>
            </w:r>
          </w:p>
        </w:tc>
        <w:tc>
          <w:tcPr>
            <w:tcW w:w="2460" w:type="dxa"/>
          </w:tcPr>
          <w:p w14:paraId="32E0FA96" w14:textId="1EC5A579" w:rsidR="000B5017" w:rsidRDefault="000B5017" w:rsidP="005D3AD5">
            <w:pPr>
              <w:jc w:val="center"/>
            </w:pPr>
            <w:r w:rsidRPr="003A4732">
              <w:t>CBH 14</w:t>
            </w:r>
          </w:p>
        </w:tc>
        <w:tc>
          <w:tcPr>
            <w:tcW w:w="5820" w:type="dxa"/>
            <w:vMerge/>
          </w:tcPr>
          <w:p w14:paraId="7BFA1F82" w14:textId="77777777" w:rsidR="000B5017" w:rsidRDefault="000B5017" w:rsidP="005D3AD5">
            <w:pPr>
              <w:jc w:val="center"/>
            </w:pPr>
          </w:p>
        </w:tc>
      </w:tr>
      <w:tr w:rsidR="000B5017" w14:paraId="41D62527" w14:textId="77777777" w:rsidTr="00D03F92">
        <w:tc>
          <w:tcPr>
            <w:tcW w:w="1070" w:type="dxa"/>
          </w:tcPr>
          <w:p w14:paraId="6AECC2A2" w14:textId="38716386" w:rsidR="000B5017" w:rsidRDefault="000B5017" w:rsidP="005D3AD5">
            <w:pPr>
              <w:jc w:val="center"/>
            </w:pPr>
            <w:r w:rsidRPr="00572EFA">
              <w:lastRenderedPageBreak/>
              <w:t>95</w:t>
            </w:r>
          </w:p>
        </w:tc>
        <w:tc>
          <w:tcPr>
            <w:tcW w:w="2460" w:type="dxa"/>
          </w:tcPr>
          <w:p w14:paraId="17F3C0AF" w14:textId="1F69D831" w:rsidR="000B5017" w:rsidRDefault="000B5017" w:rsidP="005D3AD5">
            <w:pPr>
              <w:jc w:val="center"/>
            </w:pPr>
            <w:r w:rsidRPr="003A4732">
              <w:t>FCF 18</w:t>
            </w:r>
          </w:p>
        </w:tc>
        <w:tc>
          <w:tcPr>
            <w:tcW w:w="5820" w:type="dxa"/>
            <w:vMerge w:val="restart"/>
          </w:tcPr>
          <w:p w14:paraId="7D33A88D" w14:textId="035B6E5D" w:rsidR="000B5017" w:rsidRDefault="000B5017" w:rsidP="005D3AD5">
            <w:pPr>
              <w:jc w:val="center"/>
            </w:pPr>
            <w:r w:rsidRPr="00203FD3">
              <w:t>Amends prior session law to clarify that an affordable housing restriction pursuant to a loan under this authorization may be transferred to an alternative property.</w:t>
            </w:r>
          </w:p>
        </w:tc>
      </w:tr>
      <w:tr w:rsidR="000B5017" w14:paraId="33BFA80F" w14:textId="77777777" w:rsidTr="00D03F92">
        <w:tc>
          <w:tcPr>
            <w:tcW w:w="1070" w:type="dxa"/>
          </w:tcPr>
          <w:p w14:paraId="4F5C33CA" w14:textId="7103D542" w:rsidR="000B5017" w:rsidRDefault="000B5017" w:rsidP="005D3AD5">
            <w:pPr>
              <w:jc w:val="center"/>
            </w:pPr>
            <w:r w:rsidRPr="00572EFA">
              <w:t>96</w:t>
            </w:r>
          </w:p>
        </w:tc>
        <w:tc>
          <w:tcPr>
            <w:tcW w:w="2460" w:type="dxa"/>
          </w:tcPr>
          <w:p w14:paraId="1F3BB86F" w14:textId="3A97A359" w:rsidR="000B5017" w:rsidRDefault="000B5017" w:rsidP="005D3AD5">
            <w:pPr>
              <w:jc w:val="center"/>
            </w:pPr>
            <w:r w:rsidRPr="003A4732">
              <w:t>FCF 19</w:t>
            </w:r>
          </w:p>
        </w:tc>
        <w:tc>
          <w:tcPr>
            <w:tcW w:w="5820" w:type="dxa"/>
            <w:vMerge/>
          </w:tcPr>
          <w:p w14:paraId="511F2AF4" w14:textId="77777777" w:rsidR="000B5017" w:rsidRDefault="000B5017" w:rsidP="005D3AD5">
            <w:pPr>
              <w:jc w:val="center"/>
            </w:pPr>
          </w:p>
        </w:tc>
      </w:tr>
      <w:tr w:rsidR="000B5017" w14:paraId="4C03F958" w14:textId="77777777" w:rsidTr="00D03F92">
        <w:tc>
          <w:tcPr>
            <w:tcW w:w="1070" w:type="dxa"/>
          </w:tcPr>
          <w:p w14:paraId="5A9F23FC" w14:textId="3B192D0D" w:rsidR="000B5017" w:rsidRDefault="000B5017" w:rsidP="005D3AD5">
            <w:pPr>
              <w:jc w:val="center"/>
            </w:pPr>
            <w:r w:rsidRPr="00572EFA">
              <w:t>97</w:t>
            </w:r>
          </w:p>
        </w:tc>
        <w:tc>
          <w:tcPr>
            <w:tcW w:w="2460" w:type="dxa"/>
          </w:tcPr>
          <w:p w14:paraId="263460E7" w14:textId="6662551C" w:rsidR="000B5017" w:rsidRDefault="000B5017" w:rsidP="005D3AD5">
            <w:pPr>
              <w:jc w:val="center"/>
            </w:pPr>
            <w:r w:rsidRPr="003A4732">
              <w:t>FCF 20</w:t>
            </w:r>
          </w:p>
        </w:tc>
        <w:tc>
          <w:tcPr>
            <w:tcW w:w="5820" w:type="dxa"/>
            <w:vMerge/>
          </w:tcPr>
          <w:p w14:paraId="4276360A" w14:textId="77777777" w:rsidR="000B5017" w:rsidRDefault="000B5017" w:rsidP="005D3AD5">
            <w:pPr>
              <w:jc w:val="center"/>
            </w:pPr>
          </w:p>
        </w:tc>
      </w:tr>
      <w:tr w:rsidR="000B5017" w14:paraId="71780FB5" w14:textId="77777777" w:rsidTr="00D03F92">
        <w:tc>
          <w:tcPr>
            <w:tcW w:w="1070" w:type="dxa"/>
          </w:tcPr>
          <w:p w14:paraId="4F818B65" w14:textId="4FE2311A" w:rsidR="000B5017" w:rsidRDefault="000B5017" w:rsidP="005D3AD5">
            <w:pPr>
              <w:jc w:val="center"/>
            </w:pPr>
            <w:r w:rsidRPr="00572EFA">
              <w:t>98</w:t>
            </w:r>
          </w:p>
        </w:tc>
        <w:tc>
          <w:tcPr>
            <w:tcW w:w="2460" w:type="dxa"/>
          </w:tcPr>
          <w:p w14:paraId="37CD8725" w14:textId="656813D2" w:rsidR="000B5017" w:rsidRDefault="000B5017" w:rsidP="005D3AD5">
            <w:pPr>
              <w:jc w:val="center"/>
            </w:pPr>
            <w:r w:rsidRPr="003A4732">
              <w:t>CBH 15</w:t>
            </w:r>
          </w:p>
        </w:tc>
        <w:tc>
          <w:tcPr>
            <w:tcW w:w="5820" w:type="dxa"/>
            <w:vMerge w:val="restart"/>
          </w:tcPr>
          <w:p w14:paraId="62C66E08" w14:textId="65A59D74" w:rsidR="000B5017" w:rsidRDefault="000B5017" w:rsidP="005D3AD5">
            <w:pPr>
              <w:jc w:val="center"/>
            </w:pPr>
            <w:r w:rsidRPr="00203FD3">
              <w:t>Amends prior session law to clarify that an affordable housing restriction pursuant to a loan under this authorization may be transferred to an alternative property.</w:t>
            </w:r>
          </w:p>
        </w:tc>
      </w:tr>
      <w:tr w:rsidR="000B5017" w14:paraId="14C15A5C" w14:textId="77777777" w:rsidTr="00D03F92">
        <w:tc>
          <w:tcPr>
            <w:tcW w:w="1070" w:type="dxa"/>
          </w:tcPr>
          <w:p w14:paraId="25FF74B0" w14:textId="33828312" w:rsidR="000B5017" w:rsidRDefault="000B5017" w:rsidP="005D3AD5">
            <w:pPr>
              <w:jc w:val="center"/>
            </w:pPr>
            <w:r w:rsidRPr="00572EFA">
              <w:t>99</w:t>
            </w:r>
          </w:p>
        </w:tc>
        <w:tc>
          <w:tcPr>
            <w:tcW w:w="2460" w:type="dxa"/>
          </w:tcPr>
          <w:p w14:paraId="542C46FF" w14:textId="64CD5AC5" w:rsidR="000B5017" w:rsidRDefault="000B5017" w:rsidP="005D3AD5">
            <w:pPr>
              <w:jc w:val="center"/>
            </w:pPr>
            <w:r w:rsidRPr="003A4732">
              <w:t>CBH 16</w:t>
            </w:r>
          </w:p>
        </w:tc>
        <w:tc>
          <w:tcPr>
            <w:tcW w:w="5820" w:type="dxa"/>
            <w:vMerge/>
          </w:tcPr>
          <w:p w14:paraId="41AC9448" w14:textId="77777777" w:rsidR="000B5017" w:rsidRDefault="000B5017" w:rsidP="005D3AD5">
            <w:pPr>
              <w:jc w:val="center"/>
            </w:pPr>
          </w:p>
        </w:tc>
      </w:tr>
      <w:tr w:rsidR="000B5017" w14:paraId="1418B1BA" w14:textId="77777777" w:rsidTr="00D03F92">
        <w:tc>
          <w:tcPr>
            <w:tcW w:w="1070" w:type="dxa"/>
          </w:tcPr>
          <w:p w14:paraId="58B44AD8" w14:textId="30EB0E1A" w:rsidR="000B5017" w:rsidRDefault="000B5017" w:rsidP="005D3AD5">
            <w:pPr>
              <w:jc w:val="center"/>
            </w:pPr>
            <w:r w:rsidRPr="00572EFA">
              <w:t>100</w:t>
            </w:r>
          </w:p>
        </w:tc>
        <w:tc>
          <w:tcPr>
            <w:tcW w:w="2460" w:type="dxa"/>
          </w:tcPr>
          <w:p w14:paraId="17A82EFE" w14:textId="35201E98" w:rsidR="000B5017" w:rsidRDefault="000B5017" w:rsidP="005D3AD5">
            <w:pPr>
              <w:jc w:val="center"/>
            </w:pPr>
            <w:r w:rsidRPr="003A4732">
              <w:t>CBH 17</w:t>
            </w:r>
          </w:p>
        </w:tc>
        <w:tc>
          <w:tcPr>
            <w:tcW w:w="5820" w:type="dxa"/>
            <w:vMerge/>
          </w:tcPr>
          <w:p w14:paraId="2A1F76AE" w14:textId="77777777" w:rsidR="000B5017" w:rsidRDefault="000B5017" w:rsidP="005D3AD5">
            <w:pPr>
              <w:jc w:val="center"/>
            </w:pPr>
          </w:p>
        </w:tc>
      </w:tr>
      <w:tr w:rsidR="005D3AD5" w14:paraId="7CD307EE" w14:textId="77777777" w:rsidTr="00D03F92">
        <w:tc>
          <w:tcPr>
            <w:tcW w:w="1070" w:type="dxa"/>
          </w:tcPr>
          <w:p w14:paraId="663F25A9" w14:textId="4488B6A4" w:rsidR="005D3AD5" w:rsidRDefault="005D3AD5" w:rsidP="005D3AD5">
            <w:pPr>
              <w:jc w:val="center"/>
            </w:pPr>
            <w:r w:rsidRPr="00572EFA">
              <w:t>101</w:t>
            </w:r>
          </w:p>
        </w:tc>
        <w:tc>
          <w:tcPr>
            <w:tcW w:w="2460" w:type="dxa"/>
          </w:tcPr>
          <w:p w14:paraId="1F94B850" w14:textId="2C427DB1" w:rsidR="005D3AD5" w:rsidRDefault="005D3AD5" w:rsidP="005D3AD5">
            <w:pPr>
              <w:jc w:val="center"/>
            </w:pPr>
            <w:r w:rsidRPr="003A4732">
              <w:t>LHA Replacement Value</w:t>
            </w:r>
          </w:p>
        </w:tc>
        <w:tc>
          <w:tcPr>
            <w:tcW w:w="5820" w:type="dxa"/>
          </w:tcPr>
          <w:p w14:paraId="276F8877" w14:textId="1D9669C6" w:rsidR="005D3AD5" w:rsidRDefault="005D3AD5" w:rsidP="005D3AD5">
            <w:pPr>
              <w:jc w:val="center"/>
            </w:pPr>
            <w:r w:rsidRPr="00203FD3">
              <w:t>Requires calculation of replacement value for public housing under the Massachusetts Architectural Access Board's accessibility threshold to align with requirements governing all other state-owned properties, basing values on industry standards per a published database.</w:t>
            </w:r>
          </w:p>
        </w:tc>
      </w:tr>
      <w:tr w:rsidR="005D3AD5" w14:paraId="574871DB" w14:textId="77777777" w:rsidTr="00D03F92">
        <w:tc>
          <w:tcPr>
            <w:tcW w:w="1070" w:type="dxa"/>
          </w:tcPr>
          <w:p w14:paraId="46E43956" w14:textId="4BD37816" w:rsidR="005D3AD5" w:rsidRDefault="005D3AD5" w:rsidP="005D3AD5">
            <w:pPr>
              <w:jc w:val="center"/>
            </w:pPr>
            <w:r w:rsidRPr="00572EFA">
              <w:t>102</w:t>
            </w:r>
          </w:p>
        </w:tc>
        <w:tc>
          <w:tcPr>
            <w:tcW w:w="2460" w:type="dxa"/>
          </w:tcPr>
          <w:p w14:paraId="3C786618" w14:textId="0DDCCC4A" w:rsidR="005D3AD5" w:rsidRDefault="005D3AD5" w:rsidP="005D3AD5">
            <w:pPr>
              <w:jc w:val="center"/>
            </w:pPr>
            <w:r w:rsidRPr="003A4732">
              <w:t>ELI Commission</w:t>
            </w:r>
          </w:p>
        </w:tc>
        <w:tc>
          <w:tcPr>
            <w:tcW w:w="5820" w:type="dxa"/>
          </w:tcPr>
          <w:p w14:paraId="71F175FD" w14:textId="2E64835C" w:rsidR="005D3AD5" w:rsidRDefault="005D3AD5" w:rsidP="005D3AD5">
            <w:pPr>
              <w:jc w:val="center"/>
            </w:pPr>
            <w:r w:rsidRPr="00203FD3">
              <w:t>Creates a commission to recommend policy, programs, and other investments to expand the supply of housing that is affordable to Extremely Low-Income households (those households earning less than 30% of the Area Median Income).</w:t>
            </w:r>
          </w:p>
        </w:tc>
      </w:tr>
      <w:tr w:rsidR="005D3AD5" w14:paraId="078473CA" w14:textId="77777777" w:rsidTr="00D03F92">
        <w:tc>
          <w:tcPr>
            <w:tcW w:w="1070" w:type="dxa"/>
          </w:tcPr>
          <w:p w14:paraId="1144BDA5" w14:textId="0AB2BAEA" w:rsidR="005D3AD5" w:rsidRDefault="005D3AD5" w:rsidP="005D3AD5">
            <w:pPr>
              <w:jc w:val="center"/>
            </w:pPr>
            <w:r w:rsidRPr="00572EFA">
              <w:t>103</w:t>
            </w:r>
          </w:p>
        </w:tc>
        <w:tc>
          <w:tcPr>
            <w:tcW w:w="2460" w:type="dxa"/>
          </w:tcPr>
          <w:p w14:paraId="152C29AD" w14:textId="6A95F651" w:rsidR="005D3AD5" w:rsidRDefault="005D3AD5" w:rsidP="005D3AD5">
            <w:pPr>
              <w:jc w:val="center"/>
            </w:pPr>
            <w:r w:rsidRPr="003A4732">
              <w:t>Senior Housing Commission</w:t>
            </w:r>
          </w:p>
        </w:tc>
        <w:tc>
          <w:tcPr>
            <w:tcW w:w="5820" w:type="dxa"/>
          </w:tcPr>
          <w:p w14:paraId="5A47974E" w14:textId="61101D43" w:rsidR="005D3AD5" w:rsidRDefault="005D3AD5" w:rsidP="005D3AD5">
            <w:pPr>
              <w:jc w:val="center"/>
            </w:pPr>
            <w:r w:rsidRPr="00203FD3">
              <w:t>Creates a Commission to recommend policy, programs, financial and other investments to expand the supply of sustainable, broadly affordable supportive senior housing</w:t>
            </w:r>
          </w:p>
        </w:tc>
      </w:tr>
      <w:tr w:rsidR="005D3AD5" w14:paraId="08C41065" w14:textId="77777777" w:rsidTr="00D03F92">
        <w:tc>
          <w:tcPr>
            <w:tcW w:w="1070" w:type="dxa"/>
          </w:tcPr>
          <w:p w14:paraId="7F5AC7CC" w14:textId="05B94B19" w:rsidR="005D3AD5" w:rsidRDefault="005D3AD5" w:rsidP="005D3AD5">
            <w:pPr>
              <w:jc w:val="center"/>
            </w:pPr>
            <w:r w:rsidRPr="00572EFA">
              <w:t>104</w:t>
            </w:r>
          </w:p>
        </w:tc>
        <w:tc>
          <w:tcPr>
            <w:tcW w:w="2460" w:type="dxa"/>
          </w:tcPr>
          <w:p w14:paraId="58AFDEE2" w14:textId="16176D8D" w:rsidR="005D3AD5" w:rsidRDefault="005D3AD5" w:rsidP="005D3AD5">
            <w:pPr>
              <w:jc w:val="center"/>
            </w:pPr>
            <w:r w:rsidRPr="003A4732">
              <w:t>Surplus Land 1</w:t>
            </w:r>
          </w:p>
        </w:tc>
        <w:tc>
          <w:tcPr>
            <w:tcW w:w="5820" w:type="dxa"/>
          </w:tcPr>
          <w:p w14:paraId="6E067504" w14:textId="4773E25A" w:rsidR="005D3AD5" w:rsidRDefault="005D3AD5" w:rsidP="005D3AD5">
            <w:pPr>
              <w:jc w:val="center"/>
            </w:pPr>
            <w:r w:rsidRPr="00203FD3">
              <w:t xml:space="preserve">Establishes a temporary streamlined disposition process for </w:t>
            </w:r>
            <w:r w:rsidR="00442DD4" w:rsidRPr="00203FD3">
              <w:t>state-controlled</w:t>
            </w:r>
            <w:r w:rsidRPr="00203FD3">
              <w:t xml:space="preserve"> land that will be conveyed for housing purposes.</w:t>
            </w:r>
          </w:p>
        </w:tc>
      </w:tr>
      <w:tr w:rsidR="005D3AD5" w14:paraId="12AD08B6" w14:textId="77777777" w:rsidTr="00D03F92">
        <w:tc>
          <w:tcPr>
            <w:tcW w:w="1070" w:type="dxa"/>
          </w:tcPr>
          <w:p w14:paraId="64B5A292" w14:textId="3082B861" w:rsidR="005D3AD5" w:rsidRDefault="005D3AD5" w:rsidP="005D3AD5">
            <w:pPr>
              <w:jc w:val="center"/>
            </w:pPr>
            <w:r w:rsidRPr="00572EFA">
              <w:t>105</w:t>
            </w:r>
          </w:p>
        </w:tc>
        <w:tc>
          <w:tcPr>
            <w:tcW w:w="2460" w:type="dxa"/>
          </w:tcPr>
          <w:p w14:paraId="272A9781" w14:textId="1BD271D2" w:rsidR="005D3AD5" w:rsidRDefault="005D3AD5" w:rsidP="005D3AD5">
            <w:pPr>
              <w:jc w:val="center"/>
            </w:pPr>
            <w:r w:rsidRPr="003A4732">
              <w:t>Surplus Land 2</w:t>
            </w:r>
          </w:p>
        </w:tc>
        <w:tc>
          <w:tcPr>
            <w:tcW w:w="5820" w:type="dxa"/>
          </w:tcPr>
          <w:p w14:paraId="2802E8E3" w14:textId="1920AECC" w:rsidR="005D3AD5" w:rsidRDefault="005D3AD5" w:rsidP="005D3AD5">
            <w:pPr>
              <w:jc w:val="center"/>
            </w:pPr>
            <w:r w:rsidRPr="00203FD3">
              <w:t>Allows land conveyed through the temporary streamlined process to be developed as of right.</w:t>
            </w:r>
          </w:p>
        </w:tc>
      </w:tr>
      <w:tr w:rsidR="005D3AD5" w14:paraId="10ADA7A1" w14:textId="77777777" w:rsidTr="00D03F92">
        <w:tc>
          <w:tcPr>
            <w:tcW w:w="1070" w:type="dxa"/>
          </w:tcPr>
          <w:p w14:paraId="1333E318" w14:textId="21E820DB" w:rsidR="005D3AD5" w:rsidRDefault="005D3AD5" w:rsidP="005D3AD5">
            <w:pPr>
              <w:jc w:val="center"/>
            </w:pPr>
            <w:r w:rsidRPr="00572EFA">
              <w:t>106</w:t>
            </w:r>
          </w:p>
        </w:tc>
        <w:tc>
          <w:tcPr>
            <w:tcW w:w="2460" w:type="dxa"/>
          </w:tcPr>
          <w:p w14:paraId="489BD34E" w14:textId="73655695" w:rsidR="005D3AD5" w:rsidRDefault="005D3AD5" w:rsidP="005D3AD5">
            <w:pPr>
              <w:jc w:val="center"/>
            </w:pPr>
            <w:r w:rsidRPr="003A4732">
              <w:t>Surplus Land 3</w:t>
            </w:r>
          </w:p>
        </w:tc>
        <w:tc>
          <w:tcPr>
            <w:tcW w:w="5820" w:type="dxa"/>
          </w:tcPr>
          <w:p w14:paraId="1D062B09" w14:textId="4ED4CEED" w:rsidR="005D3AD5" w:rsidRDefault="005D3AD5" w:rsidP="005D3AD5">
            <w:pPr>
              <w:jc w:val="center"/>
            </w:pPr>
            <w:r w:rsidRPr="00203FD3">
              <w:t xml:space="preserve">Establishes </w:t>
            </w:r>
            <w:r w:rsidR="00737A54" w:rsidRPr="00203FD3">
              <w:t>a surplus</w:t>
            </w:r>
            <w:r w:rsidRPr="00203FD3">
              <w:t xml:space="preserve"> real property trust fund to compensate state agencies and public agencies for the disposition of land under their control and to provide for the costs associated with site preparation.</w:t>
            </w:r>
          </w:p>
        </w:tc>
      </w:tr>
      <w:tr w:rsidR="005D3AD5" w14:paraId="710ED913" w14:textId="77777777" w:rsidTr="00D03F92">
        <w:tc>
          <w:tcPr>
            <w:tcW w:w="1070" w:type="dxa"/>
          </w:tcPr>
          <w:p w14:paraId="7104772B" w14:textId="61412D33" w:rsidR="005D3AD5" w:rsidRDefault="005D3AD5" w:rsidP="005D3AD5">
            <w:pPr>
              <w:jc w:val="center"/>
            </w:pPr>
            <w:r w:rsidRPr="00572EFA">
              <w:t>107</w:t>
            </w:r>
          </w:p>
        </w:tc>
        <w:tc>
          <w:tcPr>
            <w:tcW w:w="2460" w:type="dxa"/>
          </w:tcPr>
          <w:p w14:paraId="535CA8DA" w14:textId="11B79568" w:rsidR="005D3AD5" w:rsidRDefault="005D3AD5" w:rsidP="005D3AD5">
            <w:pPr>
              <w:jc w:val="center"/>
            </w:pPr>
            <w:r w:rsidRPr="003A4732">
              <w:t>FCF and CBH Purchase Option</w:t>
            </w:r>
          </w:p>
        </w:tc>
        <w:tc>
          <w:tcPr>
            <w:tcW w:w="5820" w:type="dxa"/>
          </w:tcPr>
          <w:p w14:paraId="24C69355" w14:textId="12BF4099" w:rsidR="005D3AD5" w:rsidRDefault="005D3AD5" w:rsidP="005D3AD5">
            <w:pPr>
              <w:jc w:val="center"/>
            </w:pPr>
            <w:r w:rsidRPr="00203FD3">
              <w:t>Grants EOHLC a purchase option for housing assisted with the Facilities Consolidation Fund and the Community Based Housing Fund capital authorizations.</w:t>
            </w:r>
          </w:p>
        </w:tc>
      </w:tr>
      <w:tr w:rsidR="005D3AD5" w14:paraId="0DB1805F" w14:textId="77777777" w:rsidTr="00D03F92">
        <w:tc>
          <w:tcPr>
            <w:tcW w:w="1070" w:type="dxa"/>
          </w:tcPr>
          <w:p w14:paraId="61AAACC1" w14:textId="1C6FEDD9" w:rsidR="005D3AD5" w:rsidRDefault="005D3AD5" w:rsidP="005D3AD5">
            <w:pPr>
              <w:jc w:val="center"/>
            </w:pPr>
            <w:r w:rsidRPr="00572EFA">
              <w:t>108</w:t>
            </w:r>
          </w:p>
        </w:tc>
        <w:tc>
          <w:tcPr>
            <w:tcW w:w="2460" w:type="dxa"/>
          </w:tcPr>
          <w:p w14:paraId="6BB255E2" w14:textId="4AEB733F" w:rsidR="005D3AD5" w:rsidRDefault="005D3AD5" w:rsidP="005D3AD5">
            <w:pPr>
              <w:jc w:val="center"/>
            </w:pPr>
            <w:r w:rsidRPr="003A4732">
              <w:t>Contractor Requirements</w:t>
            </w:r>
          </w:p>
        </w:tc>
        <w:tc>
          <w:tcPr>
            <w:tcW w:w="5820" w:type="dxa"/>
          </w:tcPr>
          <w:p w14:paraId="33959CEA" w14:textId="6CF6A9DF" w:rsidR="005D3AD5" w:rsidRDefault="005D3AD5" w:rsidP="005D3AD5">
            <w:pPr>
              <w:jc w:val="center"/>
            </w:pPr>
            <w:r w:rsidRPr="00203FD3">
              <w:t>Establishes requirements for private entities engaged in construction/development related work on projects receiving funds under the capital authorizations contained in the bill.</w:t>
            </w:r>
          </w:p>
        </w:tc>
      </w:tr>
      <w:tr w:rsidR="005D3AD5" w14:paraId="1D284208" w14:textId="77777777" w:rsidTr="00D03F92">
        <w:tc>
          <w:tcPr>
            <w:tcW w:w="1070" w:type="dxa"/>
          </w:tcPr>
          <w:p w14:paraId="6D967B4D" w14:textId="0D045C07" w:rsidR="005D3AD5" w:rsidRDefault="005D3AD5" w:rsidP="005D3AD5">
            <w:pPr>
              <w:jc w:val="center"/>
            </w:pPr>
            <w:r w:rsidRPr="00572EFA">
              <w:t>109</w:t>
            </w:r>
          </w:p>
        </w:tc>
        <w:tc>
          <w:tcPr>
            <w:tcW w:w="2460" w:type="dxa"/>
          </w:tcPr>
          <w:p w14:paraId="41051B0E" w14:textId="45B12821" w:rsidR="005D3AD5" w:rsidRDefault="005D3AD5" w:rsidP="005D3AD5">
            <w:pPr>
              <w:jc w:val="center"/>
            </w:pPr>
            <w:r w:rsidRPr="003A4732">
              <w:t>Prior Authorizations</w:t>
            </w:r>
          </w:p>
        </w:tc>
        <w:tc>
          <w:tcPr>
            <w:tcW w:w="5820" w:type="dxa"/>
          </w:tcPr>
          <w:p w14:paraId="7BEBB915" w14:textId="6E2FAD03" w:rsidR="005D3AD5" w:rsidRDefault="005D3AD5" w:rsidP="005D3AD5">
            <w:pPr>
              <w:jc w:val="center"/>
            </w:pPr>
            <w:r w:rsidRPr="00203FD3">
              <w:t>Authorizes unexpended prior authorizations to be made available for 180 days from the effective date of the act.</w:t>
            </w:r>
          </w:p>
        </w:tc>
      </w:tr>
      <w:tr w:rsidR="005D3AD5" w14:paraId="55FBB274" w14:textId="77777777" w:rsidTr="00D03F92">
        <w:tc>
          <w:tcPr>
            <w:tcW w:w="1070" w:type="dxa"/>
          </w:tcPr>
          <w:p w14:paraId="2C79F9DC" w14:textId="7B4B22E0" w:rsidR="005D3AD5" w:rsidRDefault="005D3AD5" w:rsidP="005D3AD5">
            <w:pPr>
              <w:jc w:val="center"/>
            </w:pPr>
            <w:r w:rsidRPr="00572EFA">
              <w:t>110</w:t>
            </w:r>
          </w:p>
        </w:tc>
        <w:tc>
          <w:tcPr>
            <w:tcW w:w="2460" w:type="dxa"/>
          </w:tcPr>
          <w:p w14:paraId="5E73354D" w14:textId="385D5793" w:rsidR="005D3AD5" w:rsidRDefault="005D3AD5" w:rsidP="005D3AD5">
            <w:pPr>
              <w:jc w:val="center"/>
            </w:pPr>
            <w:r w:rsidRPr="003A4732">
              <w:t>Bond Authorization</w:t>
            </w:r>
          </w:p>
        </w:tc>
        <w:tc>
          <w:tcPr>
            <w:tcW w:w="5820" w:type="dxa"/>
          </w:tcPr>
          <w:p w14:paraId="04D0B6A6" w14:textId="360D38A9" w:rsidR="005D3AD5" w:rsidRDefault="005D3AD5" w:rsidP="005D3AD5">
            <w:pPr>
              <w:jc w:val="center"/>
            </w:pPr>
            <w:r w:rsidRPr="00203FD3">
              <w:t>Authorizes Governor to request that the Treasurer issue and sell bonds.</w:t>
            </w:r>
          </w:p>
        </w:tc>
      </w:tr>
      <w:tr w:rsidR="005D3AD5" w14:paraId="2FFF7D4D" w14:textId="77777777" w:rsidTr="00D03F92">
        <w:tc>
          <w:tcPr>
            <w:tcW w:w="1070" w:type="dxa"/>
          </w:tcPr>
          <w:p w14:paraId="33F9F62A" w14:textId="0C85DD45" w:rsidR="005D3AD5" w:rsidRDefault="005D3AD5" w:rsidP="005D3AD5">
            <w:pPr>
              <w:jc w:val="center"/>
            </w:pPr>
            <w:r w:rsidRPr="00572EFA">
              <w:t>111</w:t>
            </w:r>
          </w:p>
        </w:tc>
        <w:tc>
          <w:tcPr>
            <w:tcW w:w="2460" w:type="dxa"/>
          </w:tcPr>
          <w:p w14:paraId="176583ED" w14:textId="70A3CF73" w:rsidR="005D3AD5" w:rsidRDefault="005D3AD5" w:rsidP="005D3AD5">
            <w:pPr>
              <w:jc w:val="center"/>
            </w:pPr>
            <w:r w:rsidRPr="003A4732">
              <w:t xml:space="preserve">Momentum Fund </w:t>
            </w:r>
            <w:r w:rsidR="00242072">
              <w:t xml:space="preserve">Bond </w:t>
            </w:r>
            <w:r w:rsidRPr="003A4732">
              <w:t>Authorization</w:t>
            </w:r>
            <w:r w:rsidR="00242072">
              <w:t xml:space="preserve"> or Future Appropriation</w:t>
            </w:r>
          </w:p>
        </w:tc>
        <w:tc>
          <w:tcPr>
            <w:tcW w:w="5820" w:type="dxa"/>
          </w:tcPr>
          <w:p w14:paraId="2C82C655" w14:textId="4DDFAEDF" w:rsidR="005D3AD5" w:rsidRDefault="005D3AD5" w:rsidP="005D3AD5">
            <w:pPr>
              <w:jc w:val="center"/>
            </w:pPr>
            <w:r w:rsidRPr="00203FD3">
              <w:t>Authorizes the Commonwealth to issue bonds or use future appropriations to capitalize the Momentum Fund established by this bill.</w:t>
            </w:r>
          </w:p>
        </w:tc>
      </w:tr>
      <w:tr w:rsidR="005D3AD5" w14:paraId="4690240C" w14:textId="77777777" w:rsidTr="00D03F92">
        <w:tc>
          <w:tcPr>
            <w:tcW w:w="1070" w:type="dxa"/>
          </w:tcPr>
          <w:p w14:paraId="3C71E765" w14:textId="06865724" w:rsidR="005D3AD5" w:rsidRDefault="005D3AD5" w:rsidP="005D3AD5">
            <w:pPr>
              <w:jc w:val="center"/>
            </w:pPr>
            <w:r w:rsidRPr="00572EFA">
              <w:t>112</w:t>
            </w:r>
          </w:p>
        </w:tc>
        <w:tc>
          <w:tcPr>
            <w:tcW w:w="2460" w:type="dxa"/>
          </w:tcPr>
          <w:p w14:paraId="78C6CF53" w14:textId="341B134E" w:rsidR="005D3AD5" w:rsidRDefault="00D2198D" w:rsidP="005D3AD5">
            <w:pPr>
              <w:jc w:val="center"/>
            </w:pPr>
            <w:r>
              <w:t xml:space="preserve">ADUs </w:t>
            </w:r>
            <w:r w:rsidR="00EF674A">
              <w:t>A</w:t>
            </w:r>
            <w:r>
              <w:t>s</w:t>
            </w:r>
            <w:r w:rsidR="00EF674A">
              <w:t xml:space="preserve"> of R</w:t>
            </w:r>
            <w:r>
              <w:t xml:space="preserve">ight </w:t>
            </w:r>
            <w:r w:rsidR="009E48DF">
              <w:t>3</w:t>
            </w:r>
          </w:p>
        </w:tc>
        <w:tc>
          <w:tcPr>
            <w:tcW w:w="5820" w:type="dxa"/>
          </w:tcPr>
          <w:p w14:paraId="7E0CA7D9" w14:textId="3A25C4C3" w:rsidR="005D3AD5" w:rsidRDefault="005D3AD5" w:rsidP="005D3AD5">
            <w:pPr>
              <w:jc w:val="center"/>
            </w:pPr>
            <w:r w:rsidRPr="00203FD3">
              <w:t>Establishes the effective date for ADUs as</w:t>
            </w:r>
            <w:r w:rsidR="00D2198D">
              <w:t>-</w:t>
            </w:r>
            <w:r w:rsidRPr="00203FD3">
              <w:t>of</w:t>
            </w:r>
            <w:r w:rsidR="00D2198D">
              <w:t>-</w:t>
            </w:r>
            <w:r w:rsidRPr="00203FD3">
              <w:t>right 180 days after passage of the act.</w:t>
            </w:r>
          </w:p>
        </w:tc>
      </w:tr>
      <w:tr w:rsidR="009E48DF" w14:paraId="6C70B297" w14:textId="77777777" w:rsidTr="00D03F92">
        <w:tc>
          <w:tcPr>
            <w:tcW w:w="1070" w:type="dxa"/>
          </w:tcPr>
          <w:p w14:paraId="0DA96638" w14:textId="435FA665" w:rsidR="009E48DF" w:rsidRPr="00572EFA" w:rsidRDefault="009E48DF" w:rsidP="005D3AD5">
            <w:pPr>
              <w:jc w:val="center"/>
            </w:pPr>
            <w:r>
              <w:lastRenderedPageBreak/>
              <w:t>112</w:t>
            </w:r>
          </w:p>
        </w:tc>
        <w:tc>
          <w:tcPr>
            <w:tcW w:w="2460" w:type="dxa"/>
          </w:tcPr>
          <w:p w14:paraId="36C33661" w14:textId="407B163A" w:rsidR="009E48DF" w:rsidRPr="003A4732" w:rsidRDefault="00503CB1" w:rsidP="005D3AD5">
            <w:pPr>
              <w:jc w:val="center"/>
            </w:pPr>
            <w:r w:rsidRPr="00503CB1">
              <w:t>Eviction Sealing 3</w:t>
            </w:r>
          </w:p>
        </w:tc>
        <w:tc>
          <w:tcPr>
            <w:tcW w:w="5820" w:type="dxa"/>
          </w:tcPr>
          <w:p w14:paraId="7A09FE60" w14:textId="709D9696" w:rsidR="009E48DF" w:rsidRPr="00203FD3" w:rsidRDefault="00503CB1" w:rsidP="005D3AD5">
            <w:pPr>
              <w:jc w:val="center"/>
            </w:pPr>
            <w:r w:rsidRPr="00503CB1">
              <w:t>Establishes the effective date for the eviction sealing provisions to be 180 days from the effective date of the act.</w:t>
            </w:r>
          </w:p>
        </w:tc>
      </w:tr>
      <w:tr w:rsidR="005D3AD5" w14:paraId="7BC4DA35" w14:textId="77777777" w:rsidTr="00D03F92">
        <w:tc>
          <w:tcPr>
            <w:tcW w:w="1070" w:type="dxa"/>
          </w:tcPr>
          <w:p w14:paraId="22C3AFB6" w14:textId="6AC9C6F5" w:rsidR="005D3AD5" w:rsidRDefault="005D3AD5" w:rsidP="005D3AD5">
            <w:pPr>
              <w:jc w:val="center"/>
            </w:pPr>
            <w:r w:rsidRPr="00572EFA">
              <w:t>113</w:t>
            </w:r>
          </w:p>
        </w:tc>
        <w:tc>
          <w:tcPr>
            <w:tcW w:w="2460" w:type="dxa"/>
          </w:tcPr>
          <w:p w14:paraId="48389A4E" w14:textId="062128F5" w:rsidR="005D3AD5" w:rsidRDefault="005D3AD5" w:rsidP="005D3AD5">
            <w:pPr>
              <w:jc w:val="center"/>
            </w:pPr>
            <w:r w:rsidRPr="003A4732">
              <w:t>HOTC 5</w:t>
            </w:r>
          </w:p>
        </w:tc>
        <w:tc>
          <w:tcPr>
            <w:tcW w:w="5820" w:type="dxa"/>
          </w:tcPr>
          <w:p w14:paraId="3E847D39" w14:textId="3C07A5D5" w:rsidR="005D3AD5" w:rsidRDefault="005D3AD5" w:rsidP="005D3AD5">
            <w:pPr>
              <w:jc w:val="center"/>
            </w:pPr>
            <w:r w:rsidRPr="00203FD3">
              <w:t>Establishes tax year 2025 as the effective date for the Homeownership Production Tax Credit.</w:t>
            </w:r>
          </w:p>
        </w:tc>
      </w:tr>
      <w:tr w:rsidR="00832E99" w14:paraId="66F75DF2" w14:textId="77777777" w:rsidTr="00D03F92">
        <w:tc>
          <w:tcPr>
            <w:tcW w:w="1070" w:type="dxa"/>
          </w:tcPr>
          <w:p w14:paraId="1905C345" w14:textId="0D884194" w:rsidR="00832E99" w:rsidRPr="00572EFA" w:rsidRDefault="00832E99" w:rsidP="005D3AD5">
            <w:pPr>
              <w:jc w:val="center"/>
            </w:pPr>
            <w:r>
              <w:t>113</w:t>
            </w:r>
          </w:p>
        </w:tc>
        <w:tc>
          <w:tcPr>
            <w:tcW w:w="2460" w:type="dxa"/>
          </w:tcPr>
          <w:p w14:paraId="0D20DED9" w14:textId="50F6AD28" w:rsidR="00832E99" w:rsidRPr="003A4732" w:rsidRDefault="00832E99" w:rsidP="005D3AD5">
            <w:pPr>
              <w:jc w:val="center"/>
            </w:pPr>
            <w:r>
              <w:t>CITC 4</w:t>
            </w:r>
          </w:p>
        </w:tc>
        <w:tc>
          <w:tcPr>
            <w:tcW w:w="5820" w:type="dxa"/>
          </w:tcPr>
          <w:p w14:paraId="4111E7D3" w14:textId="672F1DCF" w:rsidR="00832E99" w:rsidRPr="00203FD3" w:rsidRDefault="00F675F7" w:rsidP="00F675F7">
            <w:pPr>
              <w:tabs>
                <w:tab w:val="left" w:pos="1427"/>
              </w:tabs>
              <w:jc w:val="center"/>
            </w:pPr>
            <w:r w:rsidRPr="00F675F7">
              <w:t xml:space="preserve">Establishes January 1, </w:t>
            </w:r>
            <w:proofErr w:type="gramStart"/>
            <w:r w:rsidRPr="00F675F7">
              <w:t>2025</w:t>
            </w:r>
            <w:proofErr w:type="gramEnd"/>
            <w:r w:rsidRPr="00F675F7">
              <w:t xml:space="preserve"> as the effective for CITC increase.</w:t>
            </w:r>
          </w:p>
        </w:tc>
      </w:tr>
      <w:tr w:rsidR="005D3AD5" w14:paraId="40A8093F" w14:textId="77777777" w:rsidTr="00D03F92">
        <w:tc>
          <w:tcPr>
            <w:tcW w:w="1070" w:type="dxa"/>
          </w:tcPr>
          <w:p w14:paraId="49F40FAD" w14:textId="59E29EC3" w:rsidR="005D3AD5" w:rsidRDefault="005D3AD5" w:rsidP="005D3AD5">
            <w:pPr>
              <w:jc w:val="center"/>
            </w:pPr>
            <w:r w:rsidRPr="00572EFA">
              <w:t>114</w:t>
            </w:r>
          </w:p>
        </w:tc>
        <w:tc>
          <w:tcPr>
            <w:tcW w:w="2460" w:type="dxa"/>
          </w:tcPr>
          <w:p w14:paraId="330A3365" w14:textId="412CFB19" w:rsidR="005D3AD5" w:rsidRDefault="005D3AD5" w:rsidP="005D3AD5">
            <w:pPr>
              <w:jc w:val="center"/>
            </w:pPr>
            <w:r w:rsidRPr="003A4732">
              <w:t>HOTC 6</w:t>
            </w:r>
          </w:p>
        </w:tc>
        <w:tc>
          <w:tcPr>
            <w:tcW w:w="5820" w:type="dxa"/>
          </w:tcPr>
          <w:p w14:paraId="29627179" w14:textId="0C71AA75" w:rsidR="005D3AD5" w:rsidRDefault="005D3AD5" w:rsidP="005D3AD5">
            <w:pPr>
              <w:jc w:val="center"/>
            </w:pPr>
            <w:r w:rsidRPr="00203FD3">
              <w:t>Sunsets the $10M annual authorization for the Homeownership Production Tax Credit in tax year 2030.</w:t>
            </w:r>
          </w:p>
        </w:tc>
      </w:tr>
      <w:tr w:rsidR="005D3AD5" w14:paraId="343DCF82" w14:textId="77777777" w:rsidTr="00D03F92">
        <w:tc>
          <w:tcPr>
            <w:tcW w:w="1070" w:type="dxa"/>
          </w:tcPr>
          <w:p w14:paraId="186F7B4E" w14:textId="70E4E242" w:rsidR="005D3AD5" w:rsidRDefault="005D3AD5" w:rsidP="005D3AD5">
            <w:pPr>
              <w:jc w:val="center"/>
            </w:pPr>
            <w:r w:rsidRPr="00572EFA">
              <w:t>11</w:t>
            </w:r>
            <w:r w:rsidR="00112F53">
              <w:t>5</w:t>
            </w:r>
          </w:p>
        </w:tc>
        <w:tc>
          <w:tcPr>
            <w:tcW w:w="2460" w:type="dxa"/>
          </w:tcPr>
          <w:p w14:paraId="07DA2519" w14:textId="269F4017" w:rsidR="005D3AD5" w:rsidRDefault="005D3AD5" w:rsidP="005D3AD5">
            <w:pPr>
              <w:jc w:val="center"/>
            </w:pPr>
            <w:r w:rsidRPr="003A4732">
              <w:t xml:space="preserve">Surplus Land </w:t>
            </w:r>
            <w:r w:rsidR="005C7C0E">
              <w:t>4</w:t>
            </w:r>
          </w:p>
        </w:tc>
        <w:tc>
          <w:tcPr>
            <w:tcW w:w="5820" w:type="dxa"/>
          </w:tcPr>
          <w:p w14:paraId="56CDE7AE" w14:textId="72F05173" w:rsidR="005D3AD5" w:rsidRDefault="005D3AD5" w:rsidP="005D3AD5">
            <w:pPr>
              <w:jc w:val="center"/>
            </w:pPr>
            <w:r w:rsidRPr="00203FD3">
              <w:t xml:space="preserve">Sunsets the Surplus Land Disposition Fund on June 30, </w:t>
            </w:r>
            <w:proofErr w:type="gramStart"/>
            <w:r w:rsidRPr="00203FD3">
              <w:t>2025</w:t>
            </w:r>
            <w:proofErr w:type="gramEnd"/>
            <w:r w:rsidRPr="00203FD3">
              <w:t xml:space="preserve"> and after all funds have been expended or transferred.</w:t>
            </w:r>
          </w:p>
        </w:tc>
      </w:tr>
    </w:tbl>
    <w:p w14:paraId="49850EEC" w14:textId="3DEE9627" w:rsidR="00306C31" w:rsidRDefault="00306C31"/>
    <w:sectPr w:rsidR="00306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D5"/>
    <w:rsid w:val="0003378A"/>
    <w:rsid w:val="000B5017"/>
    <w:rsid w:val="00112F53"/>
    <w:rsid w:val="001134D2"/>
    <w:rsid w:val="00157FBC"/>
    <w:rsid w:val="00242072"/>
    <w:rsid w:val="00306C31"/>
    <w:rsid w:val="00383F77"/>
    <w:rsid w:val="003C02D2"/>
    <w:rsid w:val="00442DD4"/>
    <w:rsid w:val="004F5586"/>
    <w:rsid w:val="00503CB1"/>
    <w:rsid w:val="005336DA"/>
    <w:rsid w:val="005454AE"/>
    <w:rsid w:val="005B07AE"/>
    <w:rsid w:val="005C7C0E"/>
    <w:rsid w:val="005D10EA"/>
    <w:rsid w:val="005D3AD5"/>
    <w:rsid w:val="0060569F"/>
    <w:rsid w:val="00655C01"/>
    <w:rsid w:val="006E282A"/>
    <w:rsid w:val="006E34D3"/>
    <w:rsid w:val="00737A54"/>
    <w:rsid w:val="007C4EFF"/>
    <w:rsid w:val="00814F55"/>
    <w:rsid w:val="00832E99"/>
    <w:rsid w:val="008B68EC"/>
    <w:rsid w:val="009D675D"/>
    <w:rsid w:val="009E48DF"/>
    <w:rsid w:val="00D03F92"/>
    <w:rsid w:val="00D2198D"/>
    <w:rsid w:val="00DA6CA4"/>
    <w:rsid w:val="00EF674A"/>
    <w:rsid w:val="00F675F7"/>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518F"/>
  <w15:chartTrackingRefBased/>
  <w15:docId w15:val="{B95F145F-98EB-4B26-831A-86CD65BF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3977f5-a51a-4213-8f17-abf3eccc8b36">
      <Terms xmlns="http://schemas.microsoft.com/office/infopath/2007/PartnerControls"/>
    </lcf76f155ced4ddcb4097134ff3c332f>
    <TaxCatchAll xmlns="7b83dbe2-6fd2-449a-a932-0d75829bf6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D49FFF8D1D14F86358B94D2751DFE" ma:contentTypeVersion="15" ma:contentTypeDescription="Create a new document." ma:contentTypeScope="" ma:versionID="1ea7681e98ecba01a43cf2b0bdaccc63">
  <xsd:schema xmlns:xsd="http://www.w3.org/2001/XMLSchema" xmlns:xs="http://www.w3.org/2001/XMLSchema" xmlns:p="http://schemas.microsoft.com/office/2006/metadata/properties" xmlns:ns2="a53977f5-a51a-4213-8f17-abf3eccc8b36" xmlns:ns3="7b83dbe2-6fd2-449a-a932-0d75829bf641" targetNamespace="http://schemas.microsoft.com/office/2006/metadata/properties" ma:root="true" ma:fieldsID="afa2a5535cf61f4218f0e55fd851058b" ns2:_="" ns3:_="">
    <xsd:import namespace="a53977f5-a51a-4213-8f17-abf3eccc8b36"/>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977f5-a51a-4213-8f17-abf3eccc8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538fbc-716e-45eb-a0a7-04f8939bce45}"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013F1-FDCE-434B-B913-2AFA8D8D5009}">
  <ds:schemaRefs>
    <ds:schemaRef ds:uri="http://schemas.microsoft.com/office/2006/metadata/properties"/>
    <ds:schemaRef ds:uri="http://schemas.microsoft.com/office/infopath/2007/PartnerControls"/>
    <ds:schemaRef ds:uri="a53977f5-a51a-4213-8f17-abf3eccc8b36"/>
    <ds:schemaRef ds:uri="7b83dbe2-6fd2-449a-a932-0d75829bf641"/>
  </ds:schemaRefs>
</ds:datastoreItem>
</file>

<file path=customXml/itemProps2.xml><?xml version="1.0" encoding="utf-8"?>
<ds:datastoreItem xmlns:ds="http://schemas.openxmlformats.org/officeDocument/2006/customXml" ds:itemID="{B819D0C0-474F-41C1-B5C4-ABB8A9C19D67}">
  <ds:schemaRefs>
    <ds:schemaRef ds:uri="http://schemas.microsoft.com/sharepoint/v3/contenttype/forms"/>
  </ds:schemaRefs>
</ds:datastoreItem>
</file>

<file path=customXml/itemProps3.xml><?xml version="1.0" encoding="utf-8"?>
<ds:datastoreItem xmlns:ds="http://schemas.openxmlformats.org/officeDocument/2006/customXml" ds:itemID="{DF366414-A8FB-40E2-BFDA-7A04E1D8E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977f5-a51a-4213-8f17-abf3eccc8b36"/>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Sean (EOHLC)</dc:creator>
  <cp:keywords/>
  <dc:description/>
  <cp:lastModifiedBy>Abhidnya Kurve</cp:lastModifiedBy>
  <cp:revision>2</cp:revision>
  <dcterms:created xsi:type="dcterms:W3CDTF">2023-10-19T16:06:00Z</dcterms:created>
  <dcterms:modified xsi:type="dcterms:W3CDTF">2023-10-19T16:06:00Z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0x010100EB2D49FFF8D1D14F86358B94D2751DFE</vt:lpwstr>
  </property>
  <property fmtid="{D5CDD505-2E9C-101B-9397-08002B2CF9AE}" pid="3" name="MediaServiceImageTags">
    <vt:lpwstr/>
  </property>
</Properties>
</file>