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3F" w:rsidRPr="00FB3932" w:rsidRDefault="00C4003F" w:rsidP="00FB3932">
      <w:pPr>
        <w:jc w:val="center"/>
        <w:rPr>
          <w:b/>
          <w:sz w:val="32"/>
        </w:rPr>
      </w:pPr>
      <w:r w:rsidRPr="00FB3932">
        <w:rPr>
          <w:b/>
          <w:sz w:val="32"/>
        </w:rPr>
        <w:t>Building Blocks Coalition Meeting Notes</w:t>
      </w:r>
    </w:p>
    <w:p w:rsidR="00C4003F" w:rsidRPr="00FB3932" w:rsidRDefault="00C4003F" w:rsidP="00FB3932">
      <w:pPr>
        <w:jc w:val="center"/>
        <w:rPr>
          <w:b/>
          <w:sz w:val="32"/>
        </w:rPr>
      </w:pPr>
      <w:r w:rsidRPr="00FB3932">
        <w:rPr>
          <w:b/>
          <w:sz w:val="32"/>
        </w:rPr>
        <w:t>February 22, 2023</w:t>
      </w:r>
    </w:p>
    <w:p w:rsidR="00C4003F" w:rsidRPr="00FB3932" w:rsidRDefault="00C4003F" w:rsidP="00FB3932">
      <w:pPr>
        <w:jc w:val="center"/>
        <w:rPr>
          <w:b/>
          <w:sz w:val="32"/>
        </w:rPr>
      </w:pPr>
      <w:r w:rsidRPr="00FB3932">
        <w:rPr>
          <w:b/>
          <w:sz w:val="32"/>
        </w:rPr>
        <w:t>1:00–2:30 p.m.</w:t>
      </w:r>
    </w:p>
    <w:p w:rsidR="00C4003F" w:rsidRDefault="00C4003F" w:rsidP="002B0D6E"/>
    <w:tbl>
      <w:tblPr>
        <w:tblW w:w="9367" w:type="dxa"/>
        <w:tblCellMar>
          <w:left w:w="0" w:type="dxa"/>
          <w:right w:w="0" w:type="dxa"/>
        </w:tblCellMar>
        <w:tblLook w:val="06A0" w:firstRow="1" w:lastRow="0" w:firstColumn="1" w:lastColumn="0" w:noHBand="1" w:noVBand="1"/>
      </w:tblPr>
      <w:tblGrid>
        <w:gridCol w:w="4110"/>
        <w:gridCol w:w="1752"/>
        <w:gridCol w:w="1752"/>
        <w:gridCol w:w="1753"/>
      </w:tblGrid>
      <w:tr w:rsidR="00C4003F" w:rsidRPr="00C4003F" w:rsidTr="00C4003F">
        <w:trPr>
          <w:trHeight w:val="670"/>
        </w:trPr>
        <w:tc>
          <w:tcPr>
            <w:tcW w:w="4110" w:type="dxa"/>
            <w:tcBorders>
              <w:top w:val="single" w:sz="24" w:space="0" w:color="FFFFFF"/>
              <w:left w:val="single" w:sz="24" w:space="0" w:color="FFFFFF"/>
              <w:bottom w:val="single" w:sz="24" w:space="0" w:color="FFFFFF"/>
              <w:right w:val="single" w:sz="24" w:space="0" w:color="FFFFFF"/>
            </w:tcBorders>
            <w:shd w:val="clear" w:color="auto" w:fill="006666"/>
            <w:tcMar>
              <w:top w:w="15" w:type="dxa"/>
              <w:left w:w="86" w:type="dxa"/>
              <w:bottom w:w="0" w:type="dxa"/>
              <w:right w:w="86" w:type="dxa"/>
            </w:tcMar>
            <w:vAlign w:val="center"/>
            <w:hideMark/>
          </w:tcPr>
          <w:p w:rsidR="00C4003F" w:rsidRPr="00C4003F" w:rsidRDefault="00C4003F" w:rsidP="00C4003F">
            <w:pPr>
              <w:rPr>
                <w:color w:val="FFFFFF" w:themeColor="background1"/>
                <w:sz w:val="20"/>
                <w:szCs w:val="20"/>
              </w:rPr>
            </w:pPr>
            <w:r w:rsidRPr="00C4003F">
              <w:rPr>
                <w:b/>
                <w:bCs/>
                <w:color w:val="FFFFFF" w:themeColor="background1"/>
                <w:sz w:val="20"/>
                <w:szCs w:val="20"/>
              </w:rPr>
              <w:t>Program</w:t>
            </w:r>
          </w:p>
        </w:tc>
        <w:tc>
          <w:tcPr>
            <w:tcW w:w="1752" w:type="dxa"/>
            <w:tcBorders>
              <w:top w:val="single" w:sz="24" w:space="0" w:color="FFFFFF"/>
              <w:left w:val="single" w:sz="24" w:space="0" w:color="FFFFFF"/>
              <w:bottom w:val="single" w:sz="24" w:space="0" w:color="FFFFFF"/>
              <w:right w:val="single" w:sz="24" w:space="0" w:color="FFFFFF"/>
            </w:tcBorders>
            <w:shd w:val="clear" w:color="auto" w:fill="006666"/>
            <w:tcMar>
              <w:top w:w="15" w:type="dxa"/>
              <w:left w:w="86" w:type="dxa"/>
              <w:bottom w:w="0" w:type="dxa"/>
              <w:right w:w="86" w:type="dxa"/>
            </w:tcMar>
            <w:vAlign w:val="center"/>
            <w:hideMark/>
          </w:tcPr>
          <w:p w:rsidR="00C4003F" w:rsidRPr="00C4003F" w:rsidRDefault="00C4003F" w:rsidP="00C4003F">
            <w:pPr>
              <w:rPr>
                <w:color w:val="FFFFFF" w:themeColor="background1"/>
                <w:sz w:val="20"/>
                <w:szCs w:val="20"/>
              </w:rPr>
            </w:pPr>
            <w:r w:rsidRPr="00C4003F">
              <w:rPr>
                <w:b/>
                <w:bCs/>
                <w:color w:val="FFFFFF" w:themeColor="background1"/>
                <w:sz w:val="20"/>
                <w:szCs w:val="20"/>
                <w:u w:val="single"/>
              </w:rPr>
              <w:t>DRAFT</w:t>
            </w:r>
            <w:r w:rsidRPr="00C4003F">
              <w:rPr>
                <w:b/>
                <w:bCs/>
                <w:color w:val="FFFFFF" w:themeColor="background1"/>
                <w:sz w:val="20"/>
                <w:szCs w:val="20"/>
              </w:rPr>
              <w:t xml:space="preserve"> FY2024 Requests</w:t>
            </w:r>
          </w:p>
        </w:tc>
        <w:tc>
          <w:tcPr>
            <w:tcW w:w="1752" w:type="dxa"/>
            <w:tcBorders>
              <w:top w:val="single" w:sz="24" w:space="0" w:color="FFFFFF"/>
              <w:left w:val="single" w:sz="24" w:space="0" w:color="FFFFFF"/>
              <w:bottom w:val="single" w:sz="24" w:space="0" w:color="FFFFFF"/>
              <w:right w:val="single" w:sz="24" w:space="0" w:color="FFFFFF"/>
            </w:tcBorders>
            <w:shd w:val="clear" w:color="auto" w:fill="006666"/>
            <w:tcMar>
              <w:top w:w="15" w:type="dxa"/>
              <w:left w:w="86" w:type="dxa"/>
              <w:bottom w:w="0" w:type="dxa"/>
              <w:right w:w="86" w:type="dxa"/>
            </w:tcMar>
            <w:vAlign w:val="center"/>
            <w:hideMark/>
          </w:tcPr>
          <w:p w:rsidR="00C4003F" w:rsidRPr="00C4003F" w:rsidRDefault="00C4003F" w:rsidP="00C4003F">
            <w:pPr>
              <w:rPr>
                <w:i/>
                <w:color w:val="FFFFFF" w:themeColor="background1"/>
                <w:sz w:val="20"/>
                <w:szCs w:val="20"/>
              </w:rPr>
            </w:pPr>
            <w:r w:rsidRPr="00C4003F">
              <w:rPr>
                <w:b/>
                <w:bCs/>
                <w:i/>
                <w:color w:val="FFFFFF" w:themeColor="background1"/>
                <w:sz w:val="20"/>
                <w:szCs w:val="20"/>
              </w:rPr>
              <w:t>FY2023 Requests</w:t>
            </w:r>
          </w:p>
        </w:tc>
        <w:tc>
          <w:tcPr>
            <w:tcW w:w="1753" w:type="dxa"/>
            <w:tcBorders>
              <w:top w:val="single" w:sz="24" w:space="0" w:color="FFFFFF"/>
              <w:left w:val="single" w:sz="24" w:space="0" w:color="FFFFFF"/>
              <w:bottom w:val="single" w:sz="24" w:space="0" w:color="FFFFFF"/>
              <w:right w:val="single" w:sz="24" w:space="0" w:color="FFFFFF"/>
            </w:tcBorders>
            <w:shd w:val="clear" w:color="auto" w:fill="006666"/>
            <w:tcMar>
              <w:top w:w="15" w:type="dxa"/>
              <w:left w:w="86" w:type="dxa"/>
              <w:bottom w:w="0" w:type="dxa"/>
              <w:right w:w="86" w:type="dxa"/>
            </w:tcMar>
            <w:vAlign w:val="center"/>
            <w:hideMark/>
          </w:tcPr>
          <w:p w:rsidR="00C4003F" w:rsidRPr="00C4003F" w:rsidRDefault="00C4003F" w:rsidP="00C4003F">
            <w:pPr>
              <w:rPr>
                <w:color w:val="FFFFFF" w:themeColor="background1"/>
                <w:sz w:val="20"/>
                <w:szCs w:val="20"/>
              </w:rPr>
            </w:pPr>
            <w:r w:rsidRPr="00C4003F">
              <w:rPr>
                <w:b/>
                <w:bCs/>
                <w:color w:val="FFFFFF" w:themeColor="background1"/>
                <w:sz w:val="20"/>
                <w:szCs w:val="20"/>
              </w:rPr>
              <w:t>FY2023 Budget</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Mass. Rental Voucher Program</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$250,000,000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$200,000,000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$154,000,000†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Alternative Housing Voucher Program</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$26,000,000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$19,000,000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$13,685,355‡</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Residential Assistance for Families in Transition</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$250,000,000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$250,000,000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$150,000,000*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Public Housing Operating</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$184,000,000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$92,000,000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$92,000,000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Housing Consumer Education Centers</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$10,185,000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$8,200,000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$9,700,000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Public Housing Reform</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$7,700,000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$1,000,000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$1,000,000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Home &amp; Healthy for Good</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$8,390,000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$6,390,000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$6,390,000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HomeBASE</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$60,000,000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$59,911,201</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$59,411,201</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Foreclosure &amp; Housing Counseling</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$3,050,000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$3,050,000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$3,050,000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Access to Counsel Program</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$7,000,000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Tenancy Preservation Program</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$1,800,000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$1,800,000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$1,800,000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MassAccess Registry</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$150,000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$150,000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$150,000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Unaccompanied Homeless Youth</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$12,000,000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$10,000,000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$9,500,000</w:t>
            </w:r>
          </w:p>
        </w:tc>
      </w:tr>
      <w:tr w:rsidR="00C4003F" w:rsidRPr="00C4003F" w:rsidTr="00C4003F">
        <w:trPr>
          <w:trHeight w:val="457"/>
        </w:trPr>
        <w:tc>
          <w:tcPr>
            <w:tcW w:w="4110"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New Lease for Homeless Families</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b/>
                <w:bCs/>
                <w:sz w:val="20"/>
                <w:szCs w:val="20"/>
              </w:rPr>
              <w:t>$250,000</w:t>
            </w:r>
          </w:p>
        </w:tc>
        <w:tc>
          <w:tcPr>
            <w:tcW w:w="1752"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i/>
                <w:sz w:val="20"/>
                <w:szCs w:val="20"/>
              </w:rPr>
            </w:pPr>
            <w:r w:rsidRPr="00C4003F">
              <w:rPr>
                <w:i/>
                <w:sz w:val="20"/>
                <w:szCs w:val="20"/>
              </w:rPr>
              <w:t>$250,000</w:t>
            </w:r>
          </w:p>
        </w:tc>
        <w:tc>
          <w:tcPr>
            <w:tcW w:w="1753" w:type="dxa"/>
            <w:tcBorders>
              <w:top w:val="single" w:sz="24" w:space="0" w:color="FFFFFF"/>
              <w:left w:val="single" w:sz="24" w:space="0" w:color="FFFFFF"/>
              <w:bottom w:val="single" w:sz="24" w:space="0" w:color="FFFFFF"/>
              <w:right w:val="single" w:sz="24" w:space="0" w:color="FFFFFF"/>
            </w:tcBorders>
            <w:shd w:val="clear" w:color="auto" w:fill="D9D9D9"/>
            <w:tcMar>
              <w:top w:w="15" w:type="dxa"/>
              <w:left w:w="86" w:type="dxa"/>
              <w:bottom w:w="0" w:type="dxa"/>
              <w:right w:w="86" w:type="dxa"/>
            </w:tcMar>
            <w:vAlign w:val="center"/>
            <w:hideMark/>
          </w:tcPr>
          <w:p w:rsidR="00C4003F" w:rsidRPr="00C4003F" w:rsidRDefault="00C4003F" w:rsidP="00C4003F">
            <w:pPr>
              <w:rPr>
                <w:sz w:val="20"/>
                <w:szCs w:val="20"/>
              </w:rPr>
            </w:pPr>
            <w:r w:rsidRPr="00C4003F">
              <w:rPr>
                <w:sz w:val="20"/>
                <w:szCs w:val="20"/>
              </w:rPr>
              <w:t>$250,000</w:t>
            </w:r>
          </w:p>
        </w:tc>
      </w:tr>
    </w:tbl>
    <w:p w:rsidR="00C4003F" w:rsidRPr="00C4003F" w:rsidRDefault="00C4003F" w:rsidP="00C4003F">
      <w:pPr>
        <w:rPr>
          <w:sz w:val="20"/>
        </w:rPr>
      </w:pPr>
      <w:r w:rsidRPr="00C4003F">
        <w:rPr>
          <w:sz w:val="20"/>
        </w:rPr>
        <w:t>† Includes language to carryover unspent funds from FY22 bringing total FY23 funding for MRVP to an estimated $175 million</w:t>
      </w:r>
    </w:p>
    <w:p w:rsidR="00C4003F" w:rsidRPr="00C4003F" w:rsidRDefault="00C4003F" w:rsidP="00C4003F">
      <w:pPr>
        <w:rPr>
          <w:sz w:val="20"/>
        </w:rPr>
      </w:pPr>
      <w:r w:rsidRPr="00C4003F">
        <w:rPr>
          <w:sz w:val="20"/>
        </w:rPr>
        <w:t xml:space="preserve">‡ Includes language to carryover unspent funds from FY22 bringing total FY23 funding for AHVP to an estimated $19.2 million </w:t>
      </w:r>
    </w:p>
    <w:p w:rsidR="00C4003F" w:rsidRPr="00C4003F" w:rsidRDefault="00C4003F" w:rsidP="00C4003F">
      <w:pPr>
        <w:rPr>
          <w:sz w:val="20"/>
        </w:rPr>
      </w:pPr>
      <w:r w:rsidRPr="00C4003F">
        <w:rPr>
          <w:sz w:val="20"/>
        </w:rPr>
        <w:t>* An estimated $60 million in unspent RAFT funds from FY22 will carry</w:t>
      </w:r>
      <w:r w:rsidR="00D354E7">
        <w:rPr>
          <w:sz w:val="20"/>
        </w:rPr>
        <w:t xml:space="preserve"> </w:t>
      </w:r>
      <w:r w:rsidRPr="00C4003F">
        <w:rPr>
          <w:sz w:val="20"/>
        </w:rPr>
        <w:t>over into FY23 bringing total FY23 funding for RAFT to an estimated $210 million</w:t>
      </w:r>
    </w:p>
    <w:p w:rsidR="00C4003F" w:rsidRDefault="00C4003F" w:rsidP="002B0D6E"/>
    <w:p w:rsidR="00C4003F" w:rsidRDefault="00C4003F" w:rsidP="002B0D6E"/>
    <w:p w:rsidR="00D354E7" w:rsidRDefault="00D354E7" w:rsidP="002B0D6E"/>
    <w:p w:rsidR="00D354E7" w:rsidRDefault="00D354E7" w:rsidP="002B0D6E"/>
    <w:p w:rsidR="00D354E7" w:rsidRDefault="00D354E7" w:rsidP="002B0D6E"/>
    <w:p w:rsidR="00D354E7" w:rsidRDefault="00D354E7" w:rsidP="002B0D6E">
      <w:bookmarkStart w:id="0" w:name="_GoBack"/>
      <w:bookmarkEnd w:id="0"/>
    </w:p>
    <w:p w:rsidR="00C4003F" w:rsidRPr="00100BEE" w:rsidRDefault="00C4003F" w:rsidP="00D354E7">
      <w:pPr>
        <w:pStyle w:val="ListParagraph"/>
        <w:numPr>
          <w:ilvl w:val="0"/>
          <w:numId w:val="1"/>
        </w:numPr>
        <w:spacing w:before="120" w:after="120"/>
        <w:contextualSpacing w:val="0"/>
        <w:rPr>
          <w:b/>
        </w:rPr>
      </w:pPr>
      <w:r w:rsidRPr="00100BEE">
        <w:rPr>
          <w:b/>
        </w:rPr>
        <w:lastRenderedPageBreak/>
        <w:t>Background</w:t>
      </w:r>
    </w:p>
    <w:p w:rsidR="001A2FA6" w:rsidRDefault="002B0D6E" w:rsidP="00D354E7">
      <w:pPr>
        <w:pStyle w:val="ListParagraph"/>
        <w:numPr>
          <w:ilvl w:val="1"/>
          <w:numId w:val="1"/>
        </w:numPr>
        <w:spacing w:before="120" w:after="120"/>
        <w:contextualSpacing w:val="0"/>
      </w:pPr>
      <w:r>
        <w:t>January tax revenues were down for the first time in two years</w:t>
      </w:r>
    </w:p>
    <w:p w:rsidR="002B0D6E" w:rsidRDefault="00C4003F" w:rsidP="00D354E7">
      <w:pPr>
        <w:pStyle w:val="ListParagraph"/>
        <w:numPr>
          <w:ilvl w:val="1"/>
          <w:numId w:val="1"/>
        </w:numPr>
        <w:spacing w:before="120" w:after="120"/>
        <w:contextualSpacing w:val="0"/>
      </w:pPr>
      <w:r>
        <w:t xml:space="preserve">Revenue collections are still </w:t>
      </w:r>
      <w:r w:rsidR="002B0D6E">
        <w:t xml:space="preserve">$900M above benchmarks  but still have 5 </w:t>
      </w:r>
      <w:r>
        <w:t>m</w:t>
      </w:r>
      <w:r w:rsidR="002B0D6E">
        <w:t>onths</w:t>
      </w:r>
      <w:r>
        <w:t xml:space="preserve"> of the fiscal year</w:t>
      </w:r>
      <w:r w:rsidR="002B0D6E">
        <w:t xml:space="preserve"> to get through. If the numbers remain down, </w:t>
      </w:r>
      <w:r>
        <w:t>it may impact the FY2024 budget</w:t>
      </w:r>
      <w:r w:rsidR="002B0D6E">
        <w:t>.</w:t>
      </w:r>
    </w:p>
    <w:p w:rsidR="00C4003F" w:rsidRDefault="00C4003F" w:rsidP="00D354E7">
      <w:pPr>
        <w:pStyle w:val="ListParagraph"/>
        <w:numPr>
          <w:ilvl w:val="1"/>
          <w:numId w:val="1"/>
        </w:numPr>
        <w:spacing w:before="120" w:after="120"/>
        <w:contextualSpacing w:val="0"/>
      </w:pPr>
      <w:r>
        <w:t xml:space="preserve">If revenue collections increase, state will be watching if </w:t>
      </w:r>
      <w:r>
        <w:t xml:space="preserve">62F </w:t>
      </w:r>
      <w:r>
        <w:t>will be</w:t>
      </w:r>
      <w:r>
        <w:t xml:space="preserve"> triggered</w:t>
      </w:r>
      <w:r>
        <w:t xml:space="preserve"> again. This is the law that </w:t>
      </w:r>
      <w:r w:rsidR="00D354E7">
        <w:t xml:space="preserve">requires a tax rebate if revenue collections exceed certain benchmarks. </w:t>
      </w:r>
    </w:p>
    <w:p w:rsidR="002B0D6E" w:rsidRDefault="00C4003F" w:rsidP="00D354E7">
      <w:pPr>
        <w:pStyle w:val="ListParagraph"/>
        <w:numPr>
          <w:ilvl w:val="1"/>
          <w:numId w:val="1"/>
        </w:numPr>
        <w:spacing w:before="120" w:after="120"/>
        <w:contextualSpacing w:val="0"/>
      </w:pPr>
      <w:r>
        <w:t xml:space="preserve">The </w:t>
      </w:r>
      <w:r w:rsidR="002B0D6E">
        <w:t>House</w:t>
      </w:r>
      <w:r>
        <w:t>,</w:t>
      </w:r>
      <w:r w:rsidR="002B0D6E">
        <w:t xml:space="preserve"> Senate,</w:t>
      </w:r>
      <w:r>
        <w:t xml:space="preserve"> and</w:t>
      </w:r>
      <w:r w:rsidR="002B0D6E">
        <w:t xml:space="preserve"> A</w:t>
      </w:r>
      <w:r>
        <w:t>dministration and Finance</w:t>
      </w:r>
      <w:r w:rsidR="002B0D6E">
        <w:t xml:space="preserve"> </w:t>
      </w:r>
      <w:hyperlink r:id="rId7" w:history="1">
        <w:r w:rsidR="002B0D6E" w:rsidRPr="00C4003F">
          <w:rPr>
            <w:rStyle w:val="Hyperlink"/>
          </w:rPr>
          <w:t>agreed on revenue figure</w:t>
        </w:r>
      </w:hyperlink>
      <w:r w:rsidR="002B0D6E">
        <w:t xml:space="preserve"> for</w:t>
      </w:r>
      <w:r>
        <w:t xml:space="preserve"> the</w:t>
      </w:r>
      <w:r w:rsidR="002B0D6E">
        <w:t xml:space="preserve"> FY</w:t>
      </w:r>
      <w:r>
        <w:t>20</w:t>
      </w:r>
      <w:r w:rsidR="002B0D6E">
        <w:t xml:space="preserve">24 budget – </w:t>
      </w:r>
      <w:r>
        <w:t xml:space="preserve">but this could be readjusted if revenues remain down. </w:t>
      </w:r>
    </w:p>
    <w:p w:rsidR="00C4003F" w:rsidRDefault="00C4003F" w:rsidP="00D354E7">
      <w:pPr>
        <w:pStyle w:val="ListParagraph"/>
        <w:numPr>
          <w:ilvl w:val="1"/>
          <w:numId w:val="1"/>
        </w:numPr>
        <w:spacing w:before="120" w:after="120"/>
        <w:contextualSpacing w:val="0"/>
      </w:pPr>
      <w:r>
        <w:t>The consensus revenue estimate was $40.41 billion, a 1.6% increase over FY2023.</w:t>
      </w:r>
    </w:p>
    <w:p w:rsidR="002B0D6E" w:rsidRDefault="00C4003F" w:rsidP="00D354E7">
      <w:pPr>
        <w:pStyle w:val="ListParagraph"/>
        <w:numPr>
          <w:ilvl w:val="1"/>
          <w:numId w:val="1"/>
        </w:numPr>
        <w:spacing w:before="120" w:after="120"/>
        <w:contextualSpacing w:val="0"/>
      </w:pPr>
      <w:r>
        <w:t>Governor Healey will release her first budget proposal on March 1</w:t>
      </w:r>
      <w:r w:rsidR="002B0D6E">
        <w:t xml:space="preserve"> </w:t>
      </w:r>
      <w:r w:rsidR="00D354E7">
        <w:t>– her proposal is complete</w:t>
      </w:r>
    </w:p>
    <w:p w:rsidR="002B0D6E" w:rsidRDefault="00D354E7" w:rsidP="00D354E7">
      <w:pPr>
        <w:pStyle w:val="ListParagraph"/>
        <w:numPr>
          <w:ilvl w:val="1"/>
          <w:numId w:val="1"/>
        </w:numPr>
        <w:spacing w:before="120" w:after="120"/>
        <w:contextualSpacing w:val="0"/>
      </w:pPr>
      <w:hyperlink r:id="rId8" w:history="1">
        <w:r w:rsidRPr="00D354E7">
          <w:rPr>
            <w:rStyle w:val="Hyperlink"/>
          </w:rPr>
          <w:t xml:space="preserve">Housing </w:t>
        </w:r>
        <w:r w:rsidR="002B0D6E" w:rsidRPr="00D354E7">
          <w:rPr>
            <w:rStyle w:val="Hyperlink"/>
          </w:rPr>
          <w:t>Committee Assignments</w:t>
        </w:r>
      </w:hyperlink>
      <w:r w:rsidR="002B0D6E">
        <w:t xml:space="preserve"> –</w:t>
      </w:r>
    </w:p>
    <w:p w:rsidR="002B0D6E" w:rsidRDefault="002B0D6E" w:rsidP="00D354E7">
      <w:pPr>
        <w:pStyle w:val="ListParagraph"/>
        <w:numPr>
          <w:ilvl w:val="2"/>
          <w:numId w:val="1"/>
        </w:numPr>
        <w:spacing w:before="120" w:after="120"/>
        <w:contextualSpacing w:val="0"/>
      </w:pPr>
      <w:r>
        <w:t xml:space="preserve">New </w:t>
      </w:r>
      <w:r w:rsidR="00D354E7">
        <w:t>S</w:t>
      </w:r>
      <w:r>
        <w:t>enate chair of Housing</w:t>
      </w:r>
      <w:r w:rsidR="00D354E7">
        <w:t xml:space="preserve"> – Senator Lydia Edwards. Sen. Keenan became Vice-Chair.</w:t>
      </w:r>
    </w:p>
    <w:p w:rsidR="002B0D6E" w:rsidRDefault="00D354E7" w:rsidP="00D354E7">
      <w:pPr>
        <w:pStyle w:val="ListParagraph"/>
        <w:numPr>
          <w:ilvl w:val="2"/>
          <w:numId w:val="1"/>
        </w:numPr>
        <w:spacing w:before="120" w:after="120"/>
        <w:contextualSpacing w:val="0"/>
      </w:pPr>
      <w:r>
        <w:t>Rep. Jim Arciero remained House Chair of Housing</w:t>
      </w:r>
    </w:p>
    <w:p w:rsidR="00D354E7" w:rsidRPr="00D354E7" w:rsidRDefault="00D354E7" w:rsidP="00D354E7">
      <w:pPr>
        <w:rPr>
          <w:sz w:val="32"/>
        </w:rPr>
      </w:pPr>
    </w:p>
    <w:tbl>
      <w:tblPr>
        <w:tblW w:w="9822" w:type="dxa"/>
        <w:tblCellMar>
          <w:left w:w="0" w:type="dxa"/>
          <w:right w:w="0" w:type="dxa"/>
        </w:tblCellMar>
        <w:tblLook w:val="04A0" w:firstRow="1" w:lastRow="0" w:firstColumn="1" w:lastColumn="0" w:noHBand="0" w:noVBand="1"/>
      </w:tblPr>
      <w:tblGrid>
        <w:gridCol w:w="5210"/>
        <w:gridCol w:w="2306"/>
        <w:gridCol w:w="2306"/>
      </w:tblGrid>
      <w:tr w:rsidR="00D354E7" w:rsidRPr="00D354E7" w:rsidTr="00D354E7">
        <w:trPr>
          <w:trHeight w:val="399"/>
        </w:trPr>
        <w:tc>
          <w:tcPr>
            <w:tcW w:w="5210"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D354E7" w:rsidRPr="00D354E7" w:rsidRDefault="00D354E7" w:rsidP="00D354E7"/>
        </w:tc>
        <w:tc>
          <w:tcPr>
            <w:tcW w:w="2306"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D354E7" w:rsidRPr="00D354E7" w:rsidRDefault="00D354E7" w:rsidP="00D354E7">
            <w:r w:rsidRPr="00D354E7">
              <w:rPr>
                <w:b/>
                <w:bCs/>
              </w:rPr>
              <w:t>MRVP</w:t>
            </w:r>
          </w:p>
        </w:tc>
        <w:tc>
          <w:tcPr>
            <w:tcW w:w="2306"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D354E7" w:rsidRPr="00D354E7" w:rsidRDefault="00D354E7" w:rsidP="00D354E7">
            <w:r w:rsidRPr="00D354E7">
              <w:rPr>
                <w:b/>
                <w:bCs/>
              </w:rPr>
              <w:t>AHVP</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FY2023 projected spending</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$154,275,496</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$10,976,642</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Estimated FY2023 surplus</w:t>
            </w:r>
            <w:r w:rsidR="00A62262">
              <w:t xml:space="preserve"> (approximate)</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$19,000,000</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A62262">
            <w:r w:rsidRPr="00D354E7">
              <w:t>$</w:t>
            </w:r>
            <w:r w:rsidR="00A62262">
              <w:t>10</w:t>
            </w:r>
            <w:r w:rsidRPr="00D354E7">
              <w:t>,</w:t>
            </w:r>
            <w:r w:rsidR="00A62262">
              <w:t>0</w:t>
            </w:r>
            <w:r w:rsidRPr="00D354E7">
              <w:t>00,000</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rPr>
                <w:b/>
                <w:bCs/>
              </w:rPr>
              <w:t xml:space="preserve">Mobile </w:t>
            </w:r>
            <w:r w:rsidRPr="00D354E7">
              <w:t xml:space="preserve">vouchers </w:t>
            </w:r>
            <w:r w:rsidRPr="00D354E7">
              <w:rPr>
                <w:u w:val="single"/>
              </w:rPr>
              <w:t>leased</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t>5,238</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t>695</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rPr>
                <w:b/>
                <w:bCs/>
              </w:rPr>
              <w:t>Mobile</w:t>
            </w:r>
            <w:r w:rsidRPr="00D354E7">
              <w:t xml:space="preserve"> vouchers </w:t>
            </w:r>
            <w:r w:rsidRPr="00D354E7">
              <w:rPr>
                <w:u w:val="single"/>
              </w:rPr>
              <w:t>allocated</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t>6,353</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D354E7" w:rsidRPr="00D354E7" w:rsidRDefault="00D354E7" w:rsidP="00D354E7">
            <w:r w:rsidRPr="00D354E7">
              <w:t>1,150</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rPr>
                <w:b/>
                <w:bCs/>
              </w:rPr>
              <w:t>Project-Based</w:t>
            </w:r>
            <w:r w:rsidRPr="00D354E7">
              <w:t xml:space="preserve"> vouchers </w:t>
            </w:r>
            <w:r w:rsidRPr="00D354E7">
              <w:rPr>
                <w:u w:val="single"/>
              </w:rPr>
              <w:t>leased</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t>4,229</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t>n/a*</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rPr>
                <w:b/>
                <w:bCs/>
              </w:rPr>
              <w:t>Project-Based</w:t>
            </w:r>
            <w:r w:rsidRPr="00D354E7">
              <w:t xml:space="preserve"> vouchers </w:t>
            </w:r>
            <w:r w:rsidRPr="00D354E7">
              <w:rPr>
                <w:u w:val="single"/>
              </w:rPr>
              <w:t>allocated</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t>6,322</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D354E7" w:rsidRPr="00D354E7" w:rsidRDefault="00D354E7" w:rsidP="00D354E7">
            <w:r w:rsidRPr="00D354E7">
              <w:t>n/a</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 xml:space="preserve">Total </w:t>
            </w:r>
            <w:r w:rsidRPr="00D354E7">
              <w:rPr>
                <w:b/>
                <w:bCs/>
              </w:rPr>
              <w:t>leased</w:t>
            </w:r>
            <w:r w:rsidRPr="00D354E7">
              <w:t xml:space="preserve"> vouchers (mobile &amp; project-based)</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9,467</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n/a</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 xml:space="preserve">Total </w:t>
            </w:r>
            <w:r w:rsidRPr="00D354E7">
              <w:rPr>
                <w:b/>
                <w:bCs/>
              </w:rPr>
              <w:t>allocated</w:t>
            </w:r>
            <w:r w:rsidRPr="00D354E7">
              <w:t xml:space="preserve"> vouchers (mobile &amp; project-based) </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12,675</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D354E7" w:rsidRPr="00D354E7" w:rsidRDefault="00D354E7" w:rsidP="00D354E7">
            <w:r w:rsidRPr="00D354E7">
              <w:t>n/a</w:t>
            </w:r>
          </w:p>
        </w:tc>
      </w:tr>
      <w:tr w:rsidR="00D354E7" w:rsidRPr="00D354E7" w:rsidTr="00D354E7">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Monthly subsidy cost per voucher</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$1,267</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354E7" w:rsidRPr="00D354E7" w:rsidRDefault="00D354E7" w:rsidP="00D354E7">
            <w:r w:rsidRPr="00D354E7">
              <w:t>$1,176</w:t>
            </w:r>
          </w:p>
        </w:tc>
      </w:tr>
    </w:tbl>
    <w:p w:rsidR="00D354E7" w:rsidRDefault="00100BEE" w:rsidP="00D354E7">
      <w:pPr>
        <w:rPr>
          <w:sz w:val="22"/>
        </w:rPr>
      </w:pPr>
      <w:r w:rsidRPr="00100BEE">
        <w:rPr>
          <w:sz w:val="22"/>
        </w:rPr>
        <w:t>*AHVP does not have project based vouchers</w:t>
      </w:r>
    </w:p>
    <w:p w:rsidR="00100BEE" w:rsidRDefault="00100BEE" w:rsidP="00D354E7">
      <w:pPr>
        <w:rPr>
          <w:sz w:val="22"/>
        </w:rPr>
      </w:pPr>
      <w:r>
        <w:rPr>
          <w:sz w:val="22"/>
        </w:rPr>
        <w:t>All data from DHCD as of January 2023</w:t>
      </w:r>
    </w:p>
    <w:p w:rsidR="00100BEE" w:rsidRDefault="00100BEE" w:rsidP="00D354E7">
      <w:pPr>
        <w:rPr>
          <w:sz w:val="22"/>
        </w:rPr>
      </w:pPr>
    </w:p>
    <w:p w:rsidR="00100BEE" w:rsidRPr="00100BEE" w:rsidRDefault="00100BEE" w:rsidP="00100BEE">
      <w:pPr>
        <w:pStyle w:val="ListParagraph"/>
        <w:numPr>
          <w:ilvl w:val="0"/>
          <w:numId w:val="1"/>
        </w:numPr>
        <w:spacing w:before="120" w:after="120"/>
        <w:contextualSpacing w:val="0"/>
        <w:rPr>
          <w:b/>
        </w:rPr>
      </w:pPr>
      <w:r w:rsidRPr="00100BEE">
        <w:rPr>
          <w:b/>
        </w:rPr>
        <w:t>Massachusetts Rental Voucher Program (MRVP)</w:t>
      </w:r>
    </w:p>
    <w:p w:rsidR="00D354E7" w:rsidRDefault="00D354E7" w:rsidP="00D354E7">
      <w:pPr>
        <w:pStyle w:val="ListParagraph"/>
        <w:numPr>
          <w:ilvl w:val="1"/>
          <w:numId w:val="1"/>
        </w:numPr>
        <w:spacing w:before="120" w:after="120"/>
        <w:contextualSpacing w:val="0"/>
      </w:pPr>
      <w:r>
        <w:t>The coalition discussed an FY2024 request for MRVP between $225 million – $250 million</w:t>
      </w:r>
    </w:p>
    <w:p w:rsidR="00100BEE" w:rsidRDefault="00100BEE" w:rsidP="00100BEE">
      <w:pPr>
        <w:pStyle w:val="ListParagraph"/>
        <w:numPr>
          <w:ilvl w:val="2"/>
          <w:numId w:val="1"/>
        </w:numPr>
        <w:spacing w:before="120" w:after="120"/>
        <w:contextualSpacing w:val="0"/>
      </w:pPr>
      <w:r>
        <w:lastRenderedPageBreak/>
        <w:t xml:space="preserve">Based on current voucher costs, </w:t>
      </w:r>
      <w:r w:rsidR="00A62262">
        <w:t xml:space="preserve">$250 million would provide MRVP with </w:t>
      </w:r>
      <w:r>
        <w:t>an additional</w:t>
      </w:r>
      <w:r w:rsidR="00A62262">
        <w:t xml:space="preserve"> $95.7 million could support </w:t>
      </w:r>
      <w:r>
        <w:t>6,296</w:t>
      </w:r>
      <w:r w:rsidR="00A62262">
        <w:t xml:space="preserve"> new</w:t>
      </w:r>
      <w:r>
        <w:t xml:space="preserve"> vouchers.</w:t>
      </w:r>
      <w:r w:rsidR="00A62262">
        <w:t xml:space="preserve"> At $225 million, MRVP could support 4,651 new vouchers.</w:t>
      </w:r>
    </w:p>
    <w:p w:rsidR="00D354E7" w:rsidRDefault="00D354E7" w:rsidP="00D354E7">
      <w:pPr>
        <w:pStyle w:val="ListParagraph"/>
        <w:numPr>
          <w:ilvl w:val="1"/>
          <w:numId w:val="1"/>
        </w:numPr>
        <w:spacing w:before="120" w:after="120"/>
        <w:contextualSpacing w:val="0"/>
      </w:pPr>
      <w:r>
        <w:t xml:space="preserve">The start of a new Administration, new legislative leadership, and </w:t>
      </w:r>
      <w:r w:rsidR="00100BEE">
        <w:t>a recently launched campaign to make rental assistance universal may provide an opportunity to support the larger funding request</w:t>
      </w:r>
    </w:p>
    <w:p w:rsidR="00100BEE" w:rsidRDefault="00100BEE" w:rsidP="00D354E7">
      <w:pPr>
        <w:pStyle w:val="ListParagraph"/>
        <w:numPr>
          <w:ilvl w:val="1"/>
          <w:numId w:val="1"/>
        </w:numPr>
        <w:spacing w:before="120" w:after="120"/>
        <w:contextualSpacing w:val="0"/>
      </w:pPr>
      <w:r>
        <w:t>However, the regularly occurring challenge of MRVP ending up with a multi-million surplus remains and makes it more difficult to ask for a large amount of new funding</w:t>
      </w:r>
    </w:p>
    <w:p w:rsidR="00100BEE" w:rsidRPr="00100BEE" w:rsidRDefault="00100BEE" w:rsidP="00100BEE">
      <w:pPr>
        <w:pStyle w:val="ListParagraph"/>
        <w:numPr>
          <w:ilvl w:val="1"/>
          <w:numId w:val="1"/>
        </w:numPr>
        <w:spacing w:before="120" w:after="120"/>
        <w:contextualSpacing w:val="0"/>
      </w:pPr>
      <w:r w:rsidRPr="00100BEE">
        <w:t xml:space="preserve">No new </w:t>
      </w:r>
      <w:r w:rsidRPr="00100BEE">
        <w:rPr>
          <w:b/>
        </w:rPr>
        <w:t>mobile</w:t>
      </w:r>
      <w:r w:rsidRPr="00100BEE">
        <w:t xml:space="preserve"> MRVP vouchers issued in FY2023; 200 </w:t>
      </w:r>
      <w:r w:rsidRPr="00100BEE">
        <w:rPr>
          <w:b/>
        </w:rPr>
        <w:t>project-based</w:t>
      </w:r>
      <w:r w:rsidRPr="00100BEE">
        <w:t xml:space="preserve"> MRVPs issued in FY2023 </w:t>
      </w:r>
    </w:p>
    <w:p w:rsidR="00100BEE" w:rsidRPr="00100BEE" w:rsidRDefault="00100BEE" w:rsidP="00100BEE">
      <w:pPr>
        <w:pStyle w:val="ListParagraph"/>
        <w:numPr>
          <w:ilvl w:val="1"/>
          <w:numId w:val="1"/>
        </w:numPr>
        <w:spacing w:before="120" w:after="120"/>
        <w:contextualSpacing w:val="0"/>
      </w:pPr>
      <w:r w:rsidRPr="00100BEE">
        <w:t>MRVP to be integrated into CHAMP – expected by September 2023 – eligibility screening will also become centralized</w:t>
      </w:r>
    </w:p>
    <w:p w:rsidR="00100BEE" w:rsidRPr="00100BEE" w:rsidRDefault="00100BEE" w:rsidP="00100BEE">
      <w:pPr>
        <w:pStyle w:val="ListParagraph"/>
        <w:numPr>
          <w:ilvl w:val="1"/>
          <w:numId w:val="1"/>
        </w:numPr>
        <w:spacing w:before="120" w:after="120"/>
        <w:contextualSpacing w:val="0"/>
      </w:pPr>
      <w:r w:rsidRPr="00100BEE">
        <w:t>MRVP monthly cost went up from $1,168 in July 2022 to $1,267 in January 2023 – reflects program changes made, including moving to a rent standard, including utilities, and lowering tenant rent share to 30% of income (for comparison, Section 8 per month cost is about $1,250)</w:t>
      </w:r>
    </w:p>
    <w:p w:rsidR="00100BEE" w:rsidRDefault="00100BEE" w:rsidP="00D354E7">
      <w:pPr>
        <w:pStyle w:val="ListParagraph"/>
        <w:numPr>
          <w:ilvl w:val="1"/>
          <w:numId w:val="1"/>
        </w:numPr>
        <w:spacing w:before="120" w:after="120"/>
        <w:contextualSpacing w:val="0"/>
      </w:pPr>
      <w:r>
        <w:t>Even with these changes, MRVP will have an estimated $19 million surplus with no plans for DHCD to spend this money</w:t>
      </w:r>
    </w:p>
    <w:p w:rsidR="00100BEE" w:rsidRDefault="00100BEE" w:rsidP="00100BEE">
      <w:pPr>
        <w:pStyle w:val="ListParagraph"/>
        <w:numPr>
          <w:ilvl w:val="2"/>
          <w:numId w:val="1"/>
        </w:numPr>
        <w:spacing w:before="120" w:after="120"/>
        <w:contextualSpacing w:val="0"/>
      </w:pPr>
      <w:r>
        <w:t xml:space="preserve">The coalition discussed if the surplus can be used to </w:t>
      </w:r>
      <w:r w:rsidR="009C744D" w:rsidRPr="009C744D">
        <w:t>assist the famil</w:t>
      </w:r>
      <w:r>
        <w:t>y and individual homeless crisis or if it can be used towards the gaps in bringing supportive housing online.</w:t>
      </w:r>
    </w:p>
    <w:p w:rsidR="009C744D" w:rsidRDefault="00100BEE" w:rsidP="00100BEE">
      <w:pPr>
        <w:pStyle w:val="ListParagraph"/>
        <w:numPr>
          <w:ilvl w:val="2"/>
          <w:numId w:val="1"/>
        </w:numPr>
        <w:spacing w:before="120" w:after="120"/>
        <w:contextualSpacing w:val="0"/>
      </w:pPr>
      <w:r>
        <w:t>CHAPA will convent a group of interested stakeholders to work on a proposal for using the surplus.</w:t>
      </w:r>
      <w:r w:rsidR="009C744D" w:rsidRPr="009C744D">
        <w:t xml:space="preserve">  </w:t>
      </w:r>
    </w:p>
    <w:p w:rsidR="009C744D" w:rsidRDefault="00100BEE" w:rsidP="00100BEE">
      <w:pPr>
        <w:pStyle w:val="ListParagraph"/>
        <w:numPr>
          <w:ilvl w:val="1"/>
          <w:numId w:val="1"/>
        </w:numPr>
        <w:spacing w:before="120" w:after="120"/>
        <w:contextualSpacing w:val="0"/>
      </w:pPr>
      <w:r>
        <w:t>For language changes, it was discussed if the line-item could be amended to direct DHCD</w:t>
      </w:r>
      <w:r w:rsidR="009C744D">
        <w:t xml:space="preserve"> to</w:t>
      </w:r>
      <w:r>
        <w:t xml:space="preserve"> provide notice if MRVP is running low on funding and to go to the Legislature </w:t>
      </w:r>
      <w:r w:rsidR="009C744D">
        <w:t>for more funding if it looks like they are appro</w:t>
      </w:r>
      <w:r>
        <w:t>aching the appropriated amount</w:t>
      </w:r>
    </w:p>
    <w:p w:rsidR="00A62262" w:rsidRPr="00A62262" w:rsidRDefault="00A62262" w:rsidP="00D354E7">
      <w:pPr>
        <w:pStyle w:val="ListParagraph"/>
        <w:numPr>
          <w:ilvl w:val="0"/>
          <w:numId w:val="1"/>
        </w:numPr>
        <w:spacing w:before="120" w:after="120"/>
        <w:contextualSpacing w:val="0"/>
      </w:pPr>
      <w:r>
        <w:rPr>
          <w:b/>
        </w:rPr>
        <w:t>Alternative Housing Voucher Program</w:t>
      </w:r>
      <w:r w:rsidR="00011553">
        <w:rPr>
          <w:b/>
        </w:rPr>
        <w:t xml:space="preserve"> (AHVP)</w:t>
      </w:r>
    </w:p>
    <w:p w:rsidR="00A62262" w:rsidRDefault="00A62262" w:rsidP="00A62262">
      <w:pPr>
        <w:pStyle w:val="ListParagraph"/>
        <w:numPr>
          <w:ilvl w:val="1"/>
          <w:numId w:val="1"/>
        </w:numPr>
        <w:spacing w:before="120" w:after="120"/>
        <w:contextualSpacing w:val="0"/>
      </w:pPr>
      <w:r>
        <w:t>Total ask for FY2024 is $26 million</w:t>
      </w:r>
      <w:r w:rsidR="00011553">
        <w:t xml:space="preserve"> ($16.2 million + carry over funds) </w:t>
      </w:r>
    </w:p>
    <w:p w:rsidR="00A62262" w:rsidRDefault="00A62262" w:rsidP="00A62262">
      <w:pPr>
        <w:pStyle w:val="ListParagraph"/>
        <w:numPr>
          <w:ilvl w:val="1"/>
          <w:numId w:val="1"/>
        </w:numPr>
        <w:spacing w:before="120" w:after="120"/>
        <w:contextualSpacing w:val="0"/>
      </w:pPr>
      <w:r>
        <w:t xml:space="preserve">The FY2023 surplus </w:t>
      </w:r>
      <w:r>
        <w:t>number</w:t>
      </w:r>
      <w:r>
        <w:t xml:space="preserve"> expected to carry over into FY2024</w:t>
      </w:r>
      <w:r>
        <w:t xml:space="preserve"> is slightly less than </w:t>
      </w:r>
      <w:r>
        <w:t>$10 million</w:t>
      </w:r>
    </w:p>
    <w:p w:rsidR="00011553" w:rsidRDefault="00A62262" w:rsidP="00011553">
      <w:pPr>
        <w:pStyle w:val="ListParagraph"/>
        <w:numPr>
          <w:ilvl w:val="1"/>
          <w:numId w:val="1"/>
        </w:numPr>
        <w:spacing w:before="120" w:after="120"/>
        <w:contextualSpacing w:val="0"/>
      </w:pPr>
      <w:r>
        <w:t>This carry over is not included in the</w:t>
      </w:r>
      <w:r>
        <w:t xml:space="preserve"> “ask” but this means </w:t>
      </w:r>
      <w:r>
        <w:t>the requested line item appropriation is for</w:t>
      </w:r>
      <w:r>
        <w:t xml:space="preserve"> $16.2 million (which is an increase of </w:t>
      </w:r>
      <w:r>
        <w:t>$</w:t>
      </w:r>
      <w:r>
        <w:t>2.5 mil</w:t>
      </w:r>
      <w:r>
        <w:t>lion</w:t>
      </w:r>
      <w:r>
        <w:t xml:space="preserve"> from last year, fund a</w:t>
      </w:r>
      <w:r>
        <w:t>bout</w:t>
      </w:r>
      <w:r>
        <w:t xml:space="preserve"> 250 more vouchers which is the number they added this year)</w:t>
      </w:r>
      <w:r>
        <w:t xml:space="preserve"> </w:t>
      </w:r>
    </w:p>
    <w:p w:rsidR="00A870D1" w:rsidRDefault="00A870D1" w:rsidP="00D354E7">
      <w:pPr>
        <w:pStyle w:val="ListParagraph"/>
        <w:numPr>
          <w:ilvl w:val="0"/>
          <w:numId w:val="1"/>
        </w:numPr>
        <w:spacing w:before="120" w:after="120"/>
        <w:contextualSpacing w:val="0"/>
        <w:rPr>
          <w:b/>
        </w:rPr>
      </w:pPr>
      <w:r>
        <w:rPr>
          <w:b/>
        </w:rPr>
        <w:t>Residential Assistance for Families in Transition (RAFT)</w:t>
      </w:r>
    </w:p>
    <w:p w:rsidR="00A870D1" w:rsidRPr="0065246B" w:rsidRDefault="00A870D1" w:rsidP="00A870D1">
      <w:pPr>
        <w:pStyle w:val="ListParagraph"/>
        <w:numPr>
          <w:ilvl w:val="1"/>
          <w:numId w:val="1"/>
        </w:numPr>
        <w:spacing w:before="120" w:after="120"/>
        <w:contextualSpacing w:val="0"/>
        <w:rPr>
          <w:b/>
        </w:rPr>
      </w:pPr>
      <w:r>
        <w:t>Requesting $250 million</w:t>
      </w:r>
    </w:p>
    <w:p w:rsidR="0065246B" w:rsidRPr="0065246B" w:rsidRDefault="0065246B" w:rsidP="0065246B">
      <w:pPr>
        <w:pStyle w:val="ListParagraph"/>
        <w:numPr>
          <w:ilvl w:val="2"/>
          <w:numId w:val="1"/>
        </w:numPr>
        <w:spacing w:before="120" w:after="120"/>
        <w:contextualSpacing w:val="0"/>
        <w:rPr>
          <w:b/>
        </w:rPr>
      </w:pPr>
      <w:r>
        <w:lastRenderedPageBreak/>
        <w:t>This amount would allow about $20 million per month to be distributed – only slightly higher than what is currently distributed per month.</w:t>
      </w:r>
    </w:p>
    <w:p w:rsidR="0065246B" w:rsidRPr="0065246B" w:rsidRDefault="0065246B" w:rsidP="0065246B">
      <w:pPr>
        <w:pStyle w:val="ListParagraph"/>
        <w:numPr>
          <w:ilvl w:val="2"/>
          <w:numId w:val="1"/>
        </w:numPr>
        <w:spacing w:before="120" w:after="120"/>
        <w:contextualSpacing w:val="0"/>
        <w:rPr>
          <w:b/>
        </w:rPr>
      </w:pPr>
      <w:r>
        <w:t>Program improvement would increase the amount needed per month. If we are successful in achieving program improvements, we would advocate for additional funding for RAFT if it risks running out of funds by the end of the fiscal year.</w:t>
      </w:r>
    </w:p>
    <w:p w:rsidR="0065246B" w:rsidRPr="0065246B" w:rsidRDefault="0065246B" w:rsidP="00A870D1">
      <w:pPr>
        <w:pStyle w:val="ListParagraph"/>
        <w:numPr>
          <w:ilvl w:val="1"/>
          <w:numId w:val="1"/>
        </w:numPr>
        <w:spacing w:before="120" w:after="120"/>
        <w:contextualSpacing w:val="0"/>
        <w:rPr>
          <w:b/>
        </w:rPr>
      </w:pPr>
      <w:r>
        <w:t>Administrators continue to see demand for the program. Monthly distribution levels are likely deflated and not capturing the true demand because of challenges in administering the program and program rules that the Coalition is advocating for changing</w:t>
      </w:r>
    </w:p>
    <w:p w:rsidR="0065246B" w:rsidRPr="0065246B" w:rsidRDefault="0065246B" w:rsidP="00A870D1">
      <w:pPr>
        <w:pStyle w:val="ListParagraph"/>
        <w:numPr>
          <w:ilvl w:val="1"/>
          <w:numId w:val="1"/>
        </w:numPr>
        <w:spacing w:before="120" w:after="120"/>
        <w:contextualSpacing w:val="0"/>
        <w:rPr>
          <w:b/>
        </w:rPr>
      </w:pPr>
      <w:r>
        <w:t>Will continue to advocate to remove the requirement for a notice to quit or utility shut off in order to access the program.</w:t>
      </w:r>
    </w:p>
    <w:p w:rsidR="0065246B" w:rsidRDefault="0065246B" w:rsidP="00A870D1">
      <w:pPr>
        <w:pStyle w:val="ListParagraph"/>
        <w:numPr>
          <w:ilvl w:val="1"/>
          <w:numId w:val="1"/>
        </w:numPr>
        <w:spacing w:before="120" w:after="120"/>
        <w:contextualSpacing w:val="0"/>
        <w:rPr>
          <w:b/>
        </w:rPr>
      </w:pPr>
      <w:r>
        <w:t>Advocates also working through legislation to make RAFT a more up-stream program and allow households to access up to 12 months of assistance with no benefit caps (HD1964/SD1169)</w:t>
      </w:r>
    </w:p>
    <w:p w:rsidR="00113FE3" w:rsidRPr="00011553" w:rsidRDefault="00011553" w:rsidP="00D354E7">
      <w:pPr>
        <w:pStyle w:val="ListParagraph"/>
        <w:numPr>
          <w:ilvl w:val="0"/>
          <w:numId w:val="1"/>
        </w:numPr>
        <w:spacing w:before="120" w:after="120"/>
        <w:contextualSpacing w:val="0"/>
        <w:rPr>
          <w:b/>
        </w:rPr>
      </w:pPr>
      <w:r w:rsidRPr="00011553">
        <w:rPr>
          <w:b/>
        </w:rPr>
        <w:t>Housing Consumer Education Centers (HCECs)</w:t>
      </w:r>
    </w:p>
    <w:p w:rsidR="004F5709" w:rsidRDefault="004F5709" w:rsidP="00D354E7">
      <w:pPr>
        <w:pStyle w:val="ListParagraph"/>
        <w:numPr>
          <w:ilvl w:val="1"/>
          <w:numId w:val="1"/>
        </w:numPr>
        <w:spacing w:before="120" w:after="120"/>
        <w:contextualSpacing w:val="0"/>
      </w:pPr>
      <w:r>
        <w:t xml:space="preserve">HCECs are requesting a 5% increase to its line-item to support </w:t>
      </w:r>
      <w:r w:rsidR="000D2786">
        <w:t>the work of HCECs, the Regional Housing Network of Massachusetts, and its Housing Stabilization program – this would bring line-item to $10,185,000</w:t>
      </w:r>
    </w:p>
    <w:tbl>
      <w:tblPr>
        <w:tblStyle w:val="TableGrid"/>
        <w:tblW w:w="0" w:type="auto"/>
        <w:tblLook w:val="04A0" w:firstRow="1" w:lastRow="0" w:firstColumn="1" w:lastColumn="0" w:noHBand="0" w:noVBand="1"/>
      </w:tblPr>
      <w:tblGrid>
        <w:gridCol w:w="3116"/>
        <w:gridCol w:w="3117"/>
        <w:gridCol w:w="3117"/>
      </w:tblGrid>
      <w:tr w:rsidR="000D2786" w:rsidRPr="000D2786" w:rsidTr="000D2786">
        <w:trPr>
          <w:trHeight w:val="350"/>
        </w:trPr>
        <w:tc>
          <w:tcPr>
            <w:tcW w:w="3116" w:type="dxa"/>
          </w:tcPr>
          <w:p w:rsidR="000D2786" w:rsidRPr="000D2786" w:rsidRDefault="000D2786" w:rsidP="000D2786">
            <w:pPr>
              <w:spacing w:before="120" w:after="120"/>
              <w:rPr>
                <w:sz w:val="20"/>
              </w:rPr>
            </w:pPr>
            <w:r w:rsidRPr="000D2786">
              <w:rPr>
                <w:sz w:val="20"/>
              </w:rPr>
              <w:t>HCECs – 7004-3036</w:t>
            </w:r>
          </w:p>
        </w:tc>
        <w:tc>
          <w:tcPr>
            <w:tcW w:w="3117" w:type="dxa"/>
          </w:tcPr>
          <w:p w:rsidR="000D2786" w:rsidRPr="000D2786" w:rsidRDefault="000D2786" w:rsidP="000D2786">
            <w:pPr>
              <w:spacing w:before="120" w:after="120"/>
              <w:rPr>
                <w:sz w:val="20"/>
              </w:rPr>
            </w:pPr>
            <w:r w:rsidRPr="000D2786">
              <w:rPr>
                <w:sz w:val="20"/>
              </w:rPr>
              <w:t>FY2024</w:t>
            </w:r>
          </w:p>
        </w:tc>
        <w:tc>
          <w:tcPr>
            <w:tcW w:w="3117" w:type="dxa"/>
          </w:tcPr>
          <w:p w:rsidR="000D2786" w:rsidRPr="000D2786" w:rsidRDefault="000D2786" w:rsidP="000D2786">
            <w:pPr>
              <w:spacing w:before="120" w:after="120"/>
              <w:rPr>
                <w:sz w:val="20"/>
              </w:rPr>
            </w:pPr>
            <w:r w:rsidRPr="000D2786">
              <w:rPr>
                <w:sz w:val="20"/>
              </w:rPr>
              <w:t>FY2023</w:t>
            </w:r>
          </w:p>
        </w:tc>
      </w:tr>
      <w:tr w:rsidR="000D2786" w:rsidRPr="000D2786" w:rsidTr="000D2786">
        <w:trPr>
          <w:trHeight w:val="20"/>
        </w:trPr>
        <w:tc>
          <w:tcPr>
            <w:tcW w:w="3116" w:type="dxa"/>
          </w:tcPr>
          <w:p w:rsidR="000D2786" w:rsidRPr="000D2786" w:rsidRDefault="000D2786" w:rsidP="000D2786">
            <w:pPr>
              <w:spacing w:before="120" w:after="120"/>
              <w:rPr>
                <w:sz w:val="20"/>
              </w:rPr>
            </w:pPr>
            <w:r w:rsidRPr="000D2786">
              <w:rPr>
                <w:sz w:val="20"/>
              </w:rPr>
              <w:t>HCEC</w:t>
            </w:r>
          </w:p>
        </w:tc>
        <w:tc>
          <w:tcPr>
            <w:tcW w:w="3117" w:type="dxa"/>
          </w:tcPr>
          <w:p w:rsidR="000D2786" w:rsidRPr="000D2786" w:rsidRDefault="000D2786" w:rsidP="000D2786">
            <w:pPr>
              <w:spacing w:before="120" w:after="120"/>
              <w:rPr>
                <w:sz w:val="20"/>
              </w:rPr>
            </w:pPr>
            <w:r w:rsidRPr="000D2786">
              <w:rPr>
                <w:sz w:val="20"/>
              </w:rPr>
              <w:t>$8,400,000</w:t>
            </w:r>
          </w:p>
        </w:tc>
        <w:tc>
          <w:tcPr>
            <w:tcW w:w="3117" w:type="dxa"/>
          </w:tcPr>
          <w:p w:rsidR="000D2786" w:rsidRPr="000D2786" w:rsidRDefault="000D2786" w:rsidP="000D2786">
            <w:pPr>
              <w:spacing w:before="120" w:after="120"/>
              <w:rPr>
                <w:sz w:val="20"/>
              </w:rPr>
            </w:pPr>
            <w:r w:rsidRPr="000D2786">
              <w:rPr>
                <w:sz w:val="20"/>
              </w:rPr>
              <w:t>$8,000,000</w:t>
            </w:r>
          </w:p>
        </w:tc>
      </w:tr>
      <w:tr w:rsidR="000D2786" w:rsidRPr="000D2786" w:rsidTr="000D2786">
        <w:trPr>
          <w:trHeight w:val="20"/>
        </w:trPr>
        <w:tc>
          <w:tcPr>
            <w:tcW w:w="3116" w:type="dxa"/>
          </w:tcPr>
          <w:p w:rsidR="000D2786" w:rsidRPr="000D2786" w:rsidRDefault="000D2786" w:rsidP="000D2786">
            <w:pPr>
              <w:spacing w:before="120" w:after="120"/>
              <w:rPr>
                <w:sz w:val="20"/>
              </w:rPr>
            </w:pPr>
            <w:r w:rsidRPr="000D2786">
              <w:rPr>
                <w:sz w:val="20"/>
              </w:rPr>
              <w:t>HCEC – RHN Admin</w:t>
            </w:r>
          </w:p>
        </w:tc>
        <w:tc>
          <w:tcPr>
            <w:tcW w:w="3117" w:type="dxa"/>
          </w:tcPr>
          <w:p w:rsidR="000D2786" w:rsidRPr="000D2786" w:rsidRDefault="000D2786" w:rsidP="000D2786">
            <w:pPr>
              <w:spacing w:before="120" w:after="120"/>
              <w:rPr>
                <w:sz w:val="20"/>
              </w:rPr>
            </w:pPr>
            <w:r w:rsidRPr="000D2786">
              <w:rPr>
                <w:sz w:val="20"/>
              </w:rPr>
              <w:t>$210,000</w:t>
            </w:r>
          </w:p>
        </w:tc>
        <w:tc>
          <w:tcPr>
            <w:tcW w:w="3117" w:type="dxa"/>
          </w:tcPr>
          <w:p w:rsidR="000D2786" w:rsidRPr="000D2786" w:rsidRDefault="000D2786" w:rsidP="000D2786">
            <w:pPr>
              <w:spacing w:before="120" w:after="120"/>
              <w:rPr>
                <w:sz w:val="20"/>
              </w:rPr>
            </w:pPr>
            <w:r w:rsidRPr="000D2786">
              <w:rPr>
                <w:sz w:val="20"/>
              </w:rPr>
              <w:t>$200,000</w:t>
            </w:r>
          </w:p>
        </w:tc>
      </w:tr>
      <w:tr w:rsidR="000D2786" w:rsidRPr="000D2786" w:rsidTr="000D2786">
        <w:trPr>
          <w:trHeight w:val="20"/>
        </w:trPr>
        <w:tc>
          <w:tcPr>
            <w:tcW w:w="3116" w:type="dxa"/>
          </w:tcPr>
          <w:p w:rsidR="000D2786" w:rsidRPr="000D2786" w:rsidRDefault="000D2786" w:rsidP="000D2786">
            <w:pPr>
              <w:spacing w:before="120" w:after="120"/>
              <w:rPr>
                <w:sz w:val="20"/>
              </w:rPr>
            </w:pPr>
            <w:r w:rsidRPr="000D2786">
              <w:rPr>
                <w:sz w:val="20"/>
              </w:rPr>
              <w:t>Housing Stabilization</w:t>
            </w:r>
          </w:p>
        </w:tc>
        <w:tc>
          <w:tcPr>
            <w:tcW w:w="3117" w:type="dxa"/>
          </w:tcPr>
          <w:p w:rsidR="000D2786" w:rsidRPr="000D2786" w:rsidRDefault="000D2786" w:rsidP="000D2786">
            <w:pPr>
              <w:spacing w:before="120" w:after="120"/>
              <w:rPr>
                <w:sz w:val="20"/>
              </w:rPr>
            </w:pPr>
            <w:r w:rsidRPr="000D2786">
              <w:rPr>
                <w:sz w:val="20"/>
              </w:rPr>
              <w:t>$1,575,000</w:t>
            </w:r>
          </w:p>
        </w:tc>
        <w:tc>
          <w:tcPr>
            <w:tcW w:w="3117" w:type="dxa"/>
          </w:tcPr>
          <w:p w:rsidR="000D2786" w:rsidRPr="000D2786" w:rsidRDefault="000D2786" w:rsidP="000D2786">
            <w:pPr>
              <w:spacing w:before="120" w:after="120"/>
              <w:rPr>
                <w:sz w:val="20"/>
              </w:rPr>
            </w:pPr>
            <w:r w:rsidRPr="000D2786">
              <w:rPr>
                <w:sz w:val="20"/>
              </w:rPr>
              <w:t>$1,500,000</w:t>
            </w:r>
          </w:p>
        </w:tc>
      </w:tr>
      <w:tr w:rsidR="000D2786" w:rsidRPr="000D2786" w:rsidTr="000D2786">
        <w:trPr>
          <w:trHeight w:val="98"/>
        </w:trPr>
        <w:tc>
          <w:tcPr>
            <w:tcW w:w="3116" w:type="dxa"/>
          </w:tcPr>
          <w:p w:rsidR="000D2786" w:rsidRPr="000D2786" w:rsidRDefault="000D2786" w:rsidP="000D2786">
            <w:pPr>
              <w:spacing w:before="120" w:after="120"/>
              <w:jc w:val="right"/>
              <w:rPr>
                <w:b/>
                <w:sz w:val="20"/>
              </w:rPr>
            </w:pPr>
            <w:r w:rsidRPr="000D2786">
              <w:rPr>
                <w:b/>
                <w:sz w:val="20"/>
              </w:rPr>
              <w:t>HCEC Total:</w:t>
            </w:r>
          </w:p>
        </w:tc>
        <w:tc>
          <w:tcPr>
            <w:tcW w:w="3117" w:type="dxa"/>
          </w:tcPr>
          <w:p w:rsidR="000D2786" w:rsidRPr="000D2786" w:rsidRDefault="000D2786" w:rsidP="000D2786">
            <w:pPr>
              <w:spacing w:before="120" w:after="120"/>
              <w:rPr>
                <w:b/>
                <w:sz w:val="20"/>
              </w:rPr>
            </w:pPr>
            <w:r w:rsidRPr="000D2786">
              <w:rPr>
                <w:b/>
                <w:sz w:val="20"/>
              </w:rPr>
              <w:t>$10,185,000</w:t>
            </w:r>
          </w:p>
        </w:tc>
        <w:tc>
          <w:tcPr>
            <w:tcW w:w="3117" w:type="dxa"/>
          </w:tcPr>
          <w:p w:rsidR="000D2786" w:rsidRPr="000D2786" w:rsidRDefault="000D2786" w:rsidP="000D2786">
            <w:pPr>
              <w:spacing w:before="120" w:after="120"/>
              <w:rPr>
                <w:b/>
                <w:sz w:val="20"/>
              </w:rPr>
            </w:pPr>
            <w:r w:rsidRPr="000D2786">
              <w:rPr>
                <w:b/>
                <w:sz w:val="20"/>
              </w:rPr>
              <w:t>$9,700,000</w:t>
            </w:r>
          </w:p>
        </w:tc>
      </w:tr>
    </w:tbl>
    <w:p w:rsidR="00D20DC5" w:rsidRPr="00D20DC5" w:rsidRDefault="00D20DC5" w:rsidP="00D354E7">
      <w:pPr>
        <w:pStyle w:val="ListParagraph"/>
        <w:numPr>
          <w:ilvl w:val="0"/>
          <w:numId w:val="1"/>
        </w:numPr>
        <w:spacing w:before="120" w:after="120"/>
        <w:contextualSpacing w:val="0"/>
        <w:rPr>
          <w:b/>
        </w:rPr>
      </w:pPr>
      <w:r w:rsidRPr="00D20DC5">
        <w:rPr>
          <w:b/>
        </w:rPr>
        <w:t>Public Housing Operating</w:t>
      </w:r>
    </w:p>
    <w:p w:rsidR="00D20DC5" w:rsidRDefault="00D20DC5" w:rsidP="00D20DC5">
      <w:pPr>
        <w:pStyle w:val="ListParagraph"/>
        <w:numPr>
          <w:ilvl w:val="1"/>
          <w:numId w:val="1"/>
        </w:numPr>
        <w:spacing w:before="120" w:after="120"/>
        <w:contextualSpacing w:val="0"/>
      </w:pPr>
      <w:r>
        <w:t>Supporting an ask doubling the public housing operating line from $92 million to $184 million</w:t>
      </w:r>
    </w:p>
    <w:p w:rsidR="00A870D1" w:rsidRDefault="00D20DC5" w:rsidP="00A870D1">
      <w:pPr>
        <w:pStyle w:val="ListParagraph"/>
        <w:numPr>
          <w:ilvl w:val="1"/>
          <w:numId w:val="1"/>
        </w:numPr>
        <w:spacing w:before="120" w:after="120"/>
        <w:contextualSpacing w:val="0"/>
      </w:pPr>
      <w:r>
        <w:t>United request of Mass. Union of Public Housing Tenants, MassNAHRO, CHAPA, and Greater Boston Interfaith Organization</w:t>
      </w:r>
      <w:r w:rsidR="00A870D1">
        <w:t xml:space="preserve"> who are building a strong advocacy around this request</w:t>
      </w:r>
    </w:p>
    <w:p w:rsidR="00827594" w:rsidRPr="00A870D1" w:rsidRDefault="00827594" w:rsidP="00D354E7">
      <w:pPr>
        <w:pStyle w:val="ListParagraph"/>
        <w:numPr>
          <w:ilvl w:val="0"/>
          <w:numId w:val="1"/>
        </w:numPr>
        <w:spacing w:before="120" w:after="120"/>
        <w:contextualSpacing w:val="0"/>
        <w:rPr>
          <w:b/>
        </w:rPr>
      </w:pPr>
      <w:r w:rsidRPr="00A870D1">
        <w:rPr>
          <w:b/>
        </w:rPr>
        <w:t>Public Housing Reform</w:t>
      </w:r>
    </w:p>
    <w:p w:rsidR="00A870D1" w:rsidRDefault="00A870D1" w:rsidP="00D354E7">
      <w:pPr>
        <w:pStyle w:val="ListParagraph"/>
        <w:numPr>
          <w:ilvl w:val="1"/>
          <w:numId w:val="1"/>
        </w:numPr>
        <w:spacing w:before="120" w:after="120"/>
        <w:contextualSpacing w:val="0"/>
      </w:pPr>
      <w:r>
        <w:t xml:space="preserve">Mass. Union of Public Housing Tenants is asking for </w:t>
      </w:r>
      <w:r w:rsidR="00827594">
        <w:t>$7.7</w:t>
      </w:r>
      <w:r>
        <w:t xml:space="preserve"> million for the public housing reform line to support tenants.</w:t>
      </w:r>
    </w:p>
    <w:p w:rsidR="00827594" w:rsidRDefault="00A870D1" w:rsidP="00D354E7">
      <w:pPr>
        <w:pStyle w:val="ListParagraph"/>
        <w:numPr>
          <w:ilvl w:val="1"/>
          <w:numId w:val="1"/>
        </w:numPr>
        <w:spacing w:before="120" w:after="120"/>
        <w:contextualSpacing w:val="0"/>
      </w:pPr>
      <w:r>
        <w:t>The inc</w:t>
      </w:r>
      <w:r w:rsidR="00827594">
        <w:t xml:space="preserve">rease </w:t>
      </w:r>
      <w:r>
        <w:t xml:space="preserve">will support increased resident access to </w:t>
      </w:r>
      <w:r w:rsidR="00827594">
        <w:t>transportation, food,</w:t>
      </w:r>
      <w:r>
        <w:t xml:space="preserve"> and language as well as an </w:t>
      </w:r>
      <w:r w:rsidR="00827594">
        <w:t>apprenticeship program</w:t>
      </w:r>
    </w:p>
    <w:p w:rsidR="00827594" w:rsidRPr="00A870D1" w:rsidRDefault="00A870D1" w:rsidP="00D354E7">
      <w:pPr>
        <w:pStyle w:val="ListParagraph"/>
        <w:numPr>
          <w:ilvl w:val="0"/>
          <w:numId w:val="1"/>
        </w:numPr>
        <w:spacing w:before="120" w:after="120"/>
        <w:contextualSpacing w:val="0"/>
        <w:rPr>
          <w:b/>
        </w:rPr>
      </w:pPr>
      <w:r w:rsidRPr="00A870D1">
        <w:rPr>
          <w:b/>
        </w:rPr>
        <w:lastRenderedPageBreak/>
        <w:t>Home &amp; Healthy for Good</w:t>
      </w:r>
    </w:p>
    <w:p w:rsidR="00827594" w:rsidRDefault="00A870D1" w:rsidP="00D354E7">
      <w:pPr>
        <w:pStyle w:val="ListParagraph"/>
        <w:numPr>
          <w:ilvl w:val="1"/>
          <w:numId w:val="1"/>
        </w:numPr>
        <w:spacing w:before="120" w:after="120"/>
        <w:contextualSpacing w:val="0"/>
      </w:pPr>
      <w:r>
        <w:t xml:space="preserve">Mass. Housing and Shelter Alliance is requesting $8.39 million </w:t>
      </w:r>
    </w:p>
    <w:p w:rsidR="00827594" w:rsidRPr="00A870D1" w:rsidRDefault="00827594" w:rsidP="00D354E7">
      <w:pPr>
        <w:pStyle w:val="ListParagraph"/>
        <w:numPr>
          <w:ilvl w:val="0"/>
          <w:numId w:val="1"/>
        </w:numPr>
        <w:spacing w:before="120" w:after="120"/>
        <w:contextualSpacing w:val="0"/>
        <w:rPr>
          <w:b/>
        </w:rPr>
      </w:pPr>
      <w:r w:rsidRPr="00A870D1">
        <w:rPr>
          <w:b/>
        </w:rPr>
        <w:t>HomeBASE</w:t>
      </w:r>
    </w:p>
    <w:p w:rsidR="00827594" w:rsidRDefault="00827594" w:rsidP="00D354E7">
      <w:pPr>
        <w:pStyle w:val="ListParagraph"/>
        <w:numPr>
          <w:ilvl w:val="1"/>
          <w:numId w:val="1"/>
        </w:numPr>
        <w:spacing w:before="120" w:after="120"/>
        <w:contextualSpacing w:val="0"/>
      </w:pPr>
      <w:r>
        <w:t>$60</w:t>
      </w:r>
      <w:r w:rsidR="00A870D1">
        <w:t xml:space="preserve"> million request which could s</w:t>
      </w:r>
      <w:r>
        <w:t xml:space="preserve">erve 4,000 </w:t>
      </w:r>
      <w:r w:rsidR="00A870D1">
        <w:t xml:space="preserve">households </w:t>
      </w:r>
      <w:r>
        <w:t>per year</w:t>
      </w:r>
    </w:p>
    <w:p w:rsidR="00827594" w:rsidRDefault="00A870D1" w:rsidP="005538AD">
      <w:pPr>
        <w:pStyle w:val="ListParagraph"/>
        <w:numPr>
          <w:ilvl w:val="1"/>
          <w:numId w:val="1"/>
        </w:numPr>
        <w:spacing w:before="120" w:after="120"/>
        <w:contextualSpacing w:val="0"/>
      </w:pPr>
      <w:r>
        <w:t xml:space="preserve">Mass. Coalition for the Homeless also </w:t>
      </w:r>
      <w:r w:rsidRPr="0065246B">
        <w:t>working on legislation</w:t>
      </w:r>
      <w:r>
        <w:t xml:space="preserve"> to strengthen and improve the programs, including a</w:t>
      </w:r>
      <w:r w:rsidR="00827594">
        <w:t>llow</w:t>
      </w:r>
      <w:r>
        <w:t>ing automatic</w:t>
      </w:r>
      <w:r w:rsidR="00827594">
        <w:t xml:space="preserve"> renewal</w:t>
      </w:r>
      <w:r>
        <w:t>s and increasing the maximum benefit level – HD116/SD1535 filed by Rep. Barber and Sen. Miranda</w:t>
      </w:r>
    </w:p>
    <w:p w:rsidR="00A870D1" w:rsidRPr="00A870D1" w:rsidRDefault="00A870D1" w:rsidP="00A870D1">
      <w:pPr>
        <w:pStyle w:val="ListParagraph"/>
        <w:numPr>
          <w:ilvl w:val="0"/>
          <w:numId w:val="1"/>
        </w:numPr>
        <w:spacing w:before="120" w:after="120"/>
        <w:contextualSpacing w:val="0"/>
      </w:pPr>
      <w:r>
        <w:rPr>
          <w:b/>
        </w:rPr>
        <w:t>Foreclosure &amp; Housing Counseling</w:t>
      </w:r>
    </w:p>
    <w:p w:rsidR="00A870D1" w:rsidRDefault="00A870D1" w:rsidP="00A870D1">
      <w:pPr>
        <w:pStyle w:val="ListParagraph"/>
        <w:numPr>
          <w:ilvl w:val="1"/>
          <w:numId w:val="1"/>
        </w:numPr>
        <w:spacing w:before="120" w:after="120"/>
        <w:contextualSpacing w:val="0"/>
      </w:pPr>
      <w:r>
        <w:t>Requesting level funding of $3.05 million and to keep language to guarantee at least $1.5 million for ch. 206 grants to support counseling agencies</w:t>
      </w:r>
    </w:p>
    <w:p w:rsidR="00A870D1" w:rsidRDefault="00A870D1" w:rsidP="00A62262">
      <w:pPr>
        <w:pStyle w:val="ListParagraph"/>
        <w:numPr>
          <w:ilvl w:val="0"/>
          <w:numId w:val="1"/>
        </w:numPr>
        <w:spacing w:before="120" w:after="120"/>
        <w:contextualSpacing w:val="0"/>
        <w:rPr>
          <w:b/>
        </w:rPr>
      </w:pPr>
      <w:r>
        <w:rPr>
          <w:b/>
        </w:rPr>
        <w:t>Access to Counsel (NEW)</w:t>
      </w:r>
    </w:p>
    <w:p w:rsidR="00A870D1" w:rsidRPr="00A870D1" w:rsidRDefault="00A870D1" w:rsidP="00A870D1">
      <w:pPr>
        <w:pStyle w:val="ListParagraph"/>
        <w:numPr>
          <w:ilvl w:val="1"/>
          <w:numId w:val="1"/>
        </w:numPr>
        <w:spacing w:before="120" w:after="120"/>
        <w:contextualSpacing w:val="0"/>
        <w:rPr>
          <w:b/>
        </w:rPr>
      </w:pPr>
      <w:r>
        <w:t>New request for $7 million to support an access to counsel program to provide legal representative and assistance to residents with low incomes facing eviction</w:t>
      </w:r>
    </w:p>
    <w:p w:rsidR="00A870D1" w:rsidRPr="00A870D1" w:rsidRDefault="00A870D1" w:rsidP="00A870D1">
      <w:pPr>
        <w:pStyle w:val="ListParagraph"/>
        <w:numPr>
          <w:ilvl w:val="1"/>
          <w:numId w:val="1"/>
        </w:numPr>
        <w:spacing w:before="120" w:after="120"/>
        <w:contextualSpacing w:val="0"/>
        <w:rPr>
          <w:b/>
        </w:rPr>
      </w:pPr>
      <w:r>
        <w:t xml:space="preserve">Funding would be through Mass. Legal Assistance Corporation and would support the program working to be established by </w:t>
      </w:r>
      <w:hyperlink r:id="rId9" w:history="1">
        <w:r w:rsidRPr="00A870D1">
          <w:rPr>
            <w:rStyle w:val="Hyperlink"/>
          </w:rPr>
          <w:t>Access to Counsel Legislation</w:t>
        </w:r>
      </w:hyperlink>
      <w:r>
        <w:t xml:space="preserve"> HD3657/SD1082</w:t>
      </w:r>
    </w:p>
    <w:p w:rsidR="00A870D1" w:rsidRDefault="00A870D1" w:rsidP="00A870D1">
      <w:pPr>
        <w:pStyle w:val="ListParagraph"/>
        <w:numPr>
          <w:ilvl w:val="0"/>
          <w:numId w:val="1"/>
        </w:numPr>
        <w:spacing w:before="120" w:after="120"/>
        <w:contextualSpacing w:val="0"/>
        <w:rPr>
          <w:b/>
        </w:rPr>
      </w:pPr>
      <w:r w:rsidRPr="00A870D1">
        <w:rPr>
          <w:b/>
        </w:rPr>
        <w:t xml:space="preserve">Tenancy Preservation Program </w:t>
      </w:r>
    </w:p>
    <w:p w:rsidR="00A870D1" w:rsidRPr="00E6323B" w:rsidRDefault="00E6323B" w:rsidP="00A870D1">
      <w:pPr>
        <w:pStyle w:val="ListParagraph"/>
        <w:numPr>
          <w:ilvl w:val="1"/>
          <w:numId w:val="1"/>
        </w:numPr>
        <w:spacing w:before="120" w:after="120"/>
        <w:contextualSpacing w:val="0"/>
        <w:rPr>
          <w:b/>
        </w:rPr>
      </w:pPr>
      <w:r>
        <w:t>Will check with program providers about what their request is for FY24</w:t>
      </w:r>
    </w:p>
    <w:p w:rsidR="00E6323B" w:rsidRDefault="00E6323B" w:rsidP="00E6323B">
      <w:pPr>
        <w:pStyle w:val="ListParagraph"/>
        <w:numPr>
          <w:ilvl w:val="0"/>
          <w:numId w:val="1"/>
        </w:numPr>
        <w:spacing w:before="120" w:after="120"/>
        <w:contextualSpacing w:val="0"/>
        <w:rPr>
          <w:b/>
        </w:rPr>
      </w:pPr>
      <w:r>
        <w:rPr>
          <w:b/>
        </w:rPr>
        <w:t>MassAccess Registry</w:t>
      </w:r>
    </w:p>
    <w:p w:rsidR="00E6323B" w:rsidRPr="00E6323B" w:rsidRDefault="00E6323B" w:rsidP="00E6323B">
      <w:pPr>
        <w:pStyle w:val="ListParagraph"/>
        <w:numPr>
          <w:ilvl w:val="1"/>
          <w:numId w:val="1"/>
        </w:numPr>
        <w:spacing w:before="120" w:after="120"/>
        <w:contextualSpacing w:val="0"/>
        <w:rPr>
          <w:b/>
        </w:rPr>
      </w:pPr>
      <w:r>
        <w:t>Will check with program administrators to ask for their FY24 request</w:t>
      </w:r>
    </w:p>
    <w:p w:rsidR="00E6323B" w:rsidRDefault="0065246B" w:rsidP="00E6323B">
      <w:pPr>
        <w:pStyle w:val="ListParagraph"/>
        <w:numPr>
          <w:ilvl w:val="0"/>
          <w:numId w:val="1"/>
        </w:numPr>
        <w:spacing w:before="120" w:after="120"/>
        <w:contextualSpacing w:val="0"/>
        <w:rPr>
          <w:b/>
        </w:rPr>
      </w:pPr>
      <w:r>
        <w:rPr>
          <w:b/>
        </w:rPr>
        <w:t>Unaccompanied Homeless Youth</w:t>
      </w:r>
    </w:p>
    <w:p w:rsidR="0065246B" w:rsidRPr="0065246B" w:rsidRDefault="0065246B" w:rsidP="0065246B">
      <w:pPr>
        <w:pStyle w:val="ListParagraph"/>
        <w:numPr>
          <w:ilvl w:val="1"/>
          <w:numId w:val="1"/>
        </w:numPr>
        <w:spacing w:before="120" w:after="120"/>
        <w:contextualSpacing w:val="0"/>
        <w:rPr>
          <w:b/>
        </w:rPr>
      </w:pPr>
      <w:r>
        <w:t>Mass. Coalition for the Homeless advocating for $12 million in FY24</w:t>
      </w:r>
    </w:p>
    <w:p w:rsidR="0065246B" w:rsidRDefault="0065246B" w:rsidP="0065246B">
      <w:pPr>
        <w:pStyle w:val="ListParagraph"/>
        <w:numPr>
          <w:ilvl w:val="0"/>
          <w:numId w:val="1"/>
        </w:numPr>
        <w:spacing w:before="120" w:after="120"/>
        <w:contextualSpacing w:val="0"/>
        <w:rPr>
          <w:b/>
        </w:rPr>
      </w:pPr>
      <w:r w:rsidRPr="0065246B">
        <w:rPr>
          <w:b/>
        </w:rPr>
        <w:t>New Lease for Homeless Families</w:t>
      </w:r>
    </w:p>
    <w:p w:rsidR="0065246B" w:rsidRPr="0065246B" w:rsidRDefault="0065246B" w:rsidP="0065246B">
      <w:pPr>
        <w:pStyle w:val="ListParagraph"/>
        <w:numPr>
          <w:ilvl w:val="1"/>
          <w:numId w:val="1"/>
        </w:numPr>
        <w:spacing w:before="120" w:after="120"/>
        <w:contextualSpacing w:val="0"/>
        <w:rPr>
          <w:b/>
        </w:rPr>
      </w:pPr>
      <w:r>
        <w:t>Will check with New Lease on its FY24 request</w:t>
      </w:r>
    </w:p>
    <w:p w:rsidR="00A62262" w:rsidRDefault="00A62262" w:rsidP="00A62262">
      <w:pPr>
        <w:pStyle w:val="ListParagraph"/>
        <w:numPr>
          <w:ilvl w:val="0"/>
          <w:numId w:val="1"/>
        </w:numPr>
        <w:spacing w:before="120" w:after="120"/>
        <w:contextualSpacing w:val="0"/>
        <w:rPr>
          <w:b/>
        </w:rPr>
      </w:pPr>
      <w:r w:rsidRPr="00A62262">
        <w:rPr>
          <w:b/>
        </w:rPr>
        <w:t>Additional Budget Requests</w:t>
      </w:r>
      <w:r w:rsidR="00011553">
        <w:rPr>
          <w:b/>
        </w:rPr>
        <w:t xml:space="preserve"> – </w:t>
      </w:r>
      <w:r w:rsidR="00011553">
        <w:t>the following topics were raised as potential items to add to the Coalition’s budget advocacy</w:t>
      </w:r>
    </w:p>
    <w:p w:rsidR="00A62262" w:rsidRPr="00A62262" w:rsidRDefault="00011553" w:rsidP="00A62262">
      <w:pPr>
        <w:pStyle w:val="ListParagraph"/>
        <w:numPr>
          <w:ilvl w:val="1"/>
          <w:numId w:val="1"/>
        </w:numPr>
        <w:spacing w:before="120" w:after="120"/>
        <w:contextualSpacing w:val="0"/>
        <w:rPr>
          <w:b/>
        </w:rPr>
      </w:pPr>
      <w:r>
        <w:t>H</w:t>
      </w:r>
      <w:r w:rsidR="00A62262">
        <w:t>omeownership related budget priorities that could be added</w:t>
      </w:r>
    </w:p>
    <w:p w:rsidR="00A62262" w:rsidRPr="00011553" w:rsidRDefault="00A62262" w:rsidP="00A62262">
      <w:pPr>
        <w:pStyle w:val="ListParagraph"/>
        <w:numPr>
          <w:ilvl w:val="1"/>
          <w:numId w:val="1"/>
        </w:numPr>
        <w:spacing w:before="120" w:after="120"/>
        <w:contextualSpacing w:val="0"/>
        <w:rPr>
          <w:b/>
        </w:rPr>
      </w:pPr>
      <w:r>
        <w:t>Using the budget to extend Ch. 257 protections – which pauses evictions if there is a pending application for emergency rental assistance. These protections expire in 2023.</w:t>
      </w:r>
    </w:p>
    <w:p w:rsidR="00011553" w:rsidRPr="00FB3932" w:rsidRDefault="00011553" w:rsidP="00A62262">
      <w:pPr>
        <w:pStyle w:val="ListParagraph"/>
        <w:numPr>
          <w:ilvl w:val="1"/>
          <w:numId w:val="1"/>
        </w:numPr>
        <w:spacing w:before="120" w:after="120"/>
        <w:contextualSpacing w:val="0"/>
        <w:rPr>
          <w:b/>
        </w:rPr>
      </w:pPr>
      <w:r>
        <w:t>Advocating for additional administrative funds for DHCD to hire more staff. A common theme of the discussion was DHCD not having enough staff to effectively administer its many programs. This would include adding funding for line-item 7004-0099.</w:t>
      </w:r>
    </w:p>
    <w:p w:rsidR="00FB3932" w:rsidRPr="00A62262" w:rsidRDefault="00FB3932" w:rsidP="00A62262">
      <w:pPr>
        <w:pStyle w:val="ListParagraph"/>
        <w:numPr>
          <w:ilvl w:val="1"/>
          <w:numId w:val="1"/>
        </w:numPr>
        <w:spacing w:before="120" w:after="120"/>
        <w:contextualSpacing w:val="0"/>
        <w:rPr>
          <w:b/>
        </w:rPr>
      </w:pPr>
      <w:r>
        <w:t>Funds to build specialized housing for persons with certain sensitivities</w:t>
      </w:r>
    </w:p>
    <w:sectPr w:rsidR="00FB3932" w:rsidRPr="00A622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02" w:rsidRDefault="00374C02" w:rsidP="0065246B">
      <w:r>
        <w:separator/>
      </w:r>
    </w:p>
  </w:endnote>
  <w:endnote w:type="continuationSeparator" w:id="0">
    <w:p w:rsidR="00374C02" w:rsidRDefault="00374C02" w:rsidP="006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voy">
    <w:panose1 w:val="020205020605060204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494502"/>
      <w:docPartObj>
        <w:docPartGallery w:val="Page Numbers (Bottom of Page)"/>
        <w:docPartUnique/>
      </w:docPartObj>
    </w:sdtPr>
    <w:sdtEndPr>
      <w:rPr>
        <w:noProof/>
        <w:sz w:val="20"/>
        <w:szCs w:val="20"/>
      </w:rPr>
    </w:sdtEndPr>
    <w:sdtContent>
      <w:p w:rsidR="0065246B" w:rsidRPr="0065246B" w:rsidRDefault="0065246B" w:rsidP="0065246B">
        <w:pPr>
          <w:pStyle w:val="Footer"/>
          <w:jc w:val="center"/>
          <w:rPr>
            <w:sz w:val="20"/>
            <w:szCs w:val="20"/>
          </w:rPr>
        </w:pPr>
        <w:r w:rsidRPr="0065246B">
          <w:rPr>
            <w:sz w:val="20"/>
            <w:szCs w:val="20"/>
          </w:rPr>
          <w:fldChar w:fldCharType="begin"/>
        </w:r>
        <w:r w:rsidRPr="0065246B">
          <w:rPr>
            <w:sz w:val="20"/>
            <w:szCs w:val="20"/>
          </w:rPr>
          <w:instrText xml:space="preserve"> PAGE   \* MERGEFORMAT </w:instrText>
        </w:r>
        <w:r w:rsidRPr="0065246B">
          <w:rPr>
            <w:sz w:val="20"/>
            <w:szCs w:val="20"/>
          </w:rPr>
          <w:fldChar w:fldCharType="separate"/>
        </w:r>
        <w:r>
          <w:rPr>
            <w:noProof/>
            <w:sz w:val="20"/>
            <w:szCs w:val="20"/>
          </w:rPr>
          <w:t>5</w:t>
        </w:r>
        <w:r w:rsidRPr="0065246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02" w:rsidRDefault="00374C02" w:rsidP="0065246B">
      <w:r>
        <w:separator/>
      </w:r>
    </w:p>
  </w:footnote>
  <w:footnote w:type="continuationSeparator" w:id="0">
    <w:p w:rsidR="00374C02" w:rsidRDefault="00374C02" w:rsidP="0065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08BE"/>
    <w:multiLevelType w:val="hybridMultilevel"/>
    <w:tmpl w:val="0C0E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6E"/>
    <w:rsid w:val="00011553"/>
    <w:rsid w:val="000D2786"/>
    <w:rsid w:val="00100BEE"/>
    <w:rsid w:val="00113FE3"/>
    <w:rsid w:val="001A2FA6"/>
    <w:rsid w:val="001A56BD"/>
    <w:rsid w:val="002B0D6E"/>
    <w:rsid w:val="00374C02"/>
    <w:rsid w:val="004F5709"/>
    <w:rsid w:val="0065246B"/>
    <w:rsid w:val="00827594"/>
    <w:rsid w:val="009C744D"/>
    <w:rsid w:val="00A62262"/>
    <w:rsid w:val="00A870D1"/>
    <w:rsid w:val="00AB5E09"/>
    <w:rsid w:val="00C4003F"/>
    <w:rsid w:val="00D20DC5"/>
    <w:rsid w:val="00D354E7"/>
    <w:rsid w:val="00E6323B"/>
    <w:rsid w:val="00FB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306A"/>
  <w15:chartTrackingRefBased/>
  <w15:docId w15:val="{A887D774-FA77-4FD8-A77C-C9060D1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voy" w:eastAsiaTheme="minorHAnsi" w:hAnsi="Savoy"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AB5E09"/>
    <w:rPr>
      <w:rFonts w:cs="Tahoma"/>
      <w:sz w:val="20"/>
      <w:szCs w:val="16"/>
    </w:rPr>
  </w:style>
  <w:style w:type="character" w:customStyle="1" w:styleId="BalloonTextChar">
    <w:name w:val="Balloon Text Char"/>
    <w:basedOn w:val="DefaultParagraphFont"/>
    <w:link w:val="BalloonText"/>
    <w:uiPriority w:val="99"/>
    <w:rsid w:val="00AB5E09"/>
    <w:rPr>
      <w:rFonts w:cs="Tahoma"/>
      <w:sz w:val="20"/>
      <w:szCs w:val="16"/>
    </w:rPr>
  </w:style>
  <w:style w:type="paragraph" w:styleId="ListParagraph">
    <w:name w:val="List Paragraph"/>
    <w:basedOn w:val="Normal"/>
    <w:uiPriority w:val="34"/>
    <w:qFormat/>
    <w:rsid w:val="002B0D6E"/>
    <w:pPr>
      <w:ind w:left="720"/>
      <w:contextualSpacing/>
    </w:pPr>
  </w:style>
  <w:style w:type="character" w:styleId="Hyperlink">
    <w:name w:val="Hyperlink"/>
    <w:basedOn w:val="DefaultParagraphFont"/>
    <w:uiPriority w:val="99"/>
    <w:unhideWhenUsed/>
    <w:rsid w:val="00C4003F"/>
    <w:rPr>
      <w:color w:val="0563C1" w:themeColor="hyperlink"/>
      <w:u w:val="single"/>
    </w:rPr>
  </w:style>
  <w:style w:type="table" w:styleId="TableGrid">
    <w:name w:val="Table Grid"/>
    <w:basedOn w:val="TableNormal"/>
    <w:uiPriority w:val="39"/>
    <w:rsid w:val="000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46B"/>
    <w:pPr>
      <w:tabs>
        <w:tab w:val="center" w:pos="4680"/>
        <w:tab w:val="right" w:pos="9360"/>
      </w:tabs>
    </w:pPr>
  </w:style>
  <w:style w:type="character" w:customStyle="1" w:styleId="HeaderChar">
    <w:name w:val="Header Char"/>
    <w:basedOn w:val="DefaultParagraphFont"/>
    <w:link w:val="Header"/>
    <w:uiPriority w:val="99"/>
    <w:rsid w:val="0065246B"/>
  </w:style>
  <w:style w:type="paragraph" w:styleId="Footer">
    <w:name w:val="footer"/>
    <w:basedOn w:val="Normal"/>
    <w:link w:val="FooterChar"/>
    <w:uiPriority w:val="99"/>
    <w:unhideWhenUsed/>
    <w:rsid w:val="0065246B"/>
    <w:pPr>
      <w:tabs>
        <w:tab w:val="center" w:pos="4680"/>
        <w:tab w:val="right" w:pos="9360"/>
      </w:tabs>
    </w:pPr>
  </w:style>
  <w:style w:type="character" w:customStyle="1" w:styleId="FooterChar">
    <w:name w:val="Footer Char"/>
    <w:basedOn w:val="DefaultParagraphFont"/>
    <w:link w:val="Footer"/>
    <w:uiPriority w:val="99"/>
    <w:rsid w:val="0065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6408">
      <w:bodyDiv w:val="1"/>
      <w:marLeft w:val="0"/>
      <w:marRight w:val="0"/>
      <w:marTop w:val="0"/>
      <w:marBottom w:val="0"/>
      <w:divBdr>
        <w:top w:val="none" w:sz="0" w:space="0" w:color="auto"/>
        <w:left w:val="none" w:sz="0" w:space="0" w:color="auto"/>
        <w:bottom w:val="none" w:sz="0" w:space="0" w:color="auto"/>
        <w:right w:val="none" w:sz="0" w:space="0" w:color="auto"/>
      </w:divBdr>
    </w:div>
    <w:div w:id="518084329">
      <w:bodyDiv w:val="1"/>
      <w:marLeft w:val="0"/>
      <w:marRight w:val="0"/>
      <w:marTop w:val="0"/>
      <w:marBottom w:val="0"/>
      <w:divBdr>
        <w:top w:val="none" w:sz="0" w:space="0" w:color="auto"/>
        <w:left w:val="none" w:sz="0" w:space="0" w:color="auto"/>
        <w:bottom w:val="none" w:sz="0" w:space="0" w:color="auto"/>
        <w:right w:val="none" w:sz="0" w:space="0" w:color="auto"/>
      </w:divBdr>
    </w:div>
    <w:div w:id="616982193">
      <w:bodyDiv w:val="1"/>
      <w:marLeft w:val="0"/>
      <w:marRight w:val="0"/>
      <w:marTop w:val="0"/>
      <w:marBottom w:val="0"/>
      <w:divBdr>
        <w:top w:val="none" w:sz="0" w:space="0" w:color="auto"/>
        <w:left w:val="none" w:sz="0" w:space="0" w:color="auto"/>
        <w:bottom w:val="none" w:sz="0" w:space="0" w:color="auto"/>
        <w:right w:val="none" w:sz="0" w:space="0" w:color="auto"/>
      </w:divBdr>
    </w:div>
    <w:div w:id="1435511827">
      <w:bodyDiv w:val="1"/>
      <w:marLeft w:val="0"/>
      <w:marRight w:val="0"/>
      <w:marTop w:val="0"/>
      <w:marBottom w:val="0"/>
      <w:divBdr>
        <w:top w:val="none" w:sz="0" w:space="0" w:color="auto"/>
        <w:left w:val="none" w:sz="0" w:space="0" w:color="auto"/>
        <w:bottom w:val="none" w:sz="0" w:space="0" w:color="auto"/>
        <w:right w:val="none" w:sz="0" w:space="0" w:color="auto"/>
      </w:divBdr>
      <w:divsChild>
        <w:div w:id="1903174977">
          <w:marLeft w:val="446"/>
          <w:marRight w:val="0"/>
          <w:marTop w:val="0"/>
          <w:marBottom w:val="120"/>
          <w:divBdr>
            <w:top w:val="none" w:sz="0" w:space="0" w:color="auto"/>
            <w:left w:val="none" w:sz="0" w:space="0" w:color="auto"/>
            <w:bottom w:val="none" w:sz="0" w:space="0" w:color="auto"/>
            <w:right w:val="none" w:sz="0" w:space="0" w:color="auto"/>
          </w:divBdr>
        </w:div>
        <w:div w:id="1716349840">
          <w:marLeft w:val="446"/>
          <w:marRight w:val="0"/>
          <w:marTop w:val="0"/>
          <w:marBottom w:val="120"/>
          <w:divBdr>
            <w:top w:val="none" w:sz="0" w:space="0" w:color="auto"/>
            <w:left w:val="none" w:sz="0" w:space="0" w:color="auto"/>
            <w:bottom w:val="none" w:sz="0" w:space="0" w:color="auto"/>
            <w:right w:val="none" w:sz="0" w:space="0" w:color="auto"/>
          </w:divBdr>
        </w:div>
        <w:div w:id="156767833">
          <w:marLeft w:val="446"/>
          <w:marRight w:val="0"/>
          <w:marTop w:val="0"/>
          <w:marBottom w:val="120"/>
          <w:divBdr>
            <w:top w:val="none" w:sz="0" w:space="0" w:color="auto"/>
            <w:left w:val="none" w:sz="0" w:space="0" w:color="auto"/>
            <w:bottom w:val="none" w:sz="0" w:space="0" w:color="auto"/>
            <w:right w:val="none" w:sz="0" w:space="0" w:color="auto"/>
          </w:divBdr>
        </w:div>
        <w:div w:id="300817859">
          <w:marLeft w:val="446"/>
          <w:marRight w:val="0"/>
          <w:marTop w:val="0"/>
          <w:marBottom w:val="120"/>
          <w:divBdr>
            <w:top w:val="none" w:sz="0" w:space="0" w:color="auto"/>
            <w:left w:val="none" w:sz="0" w:space="0" w:color="auto"/>
            <w:bottom w:val="none" w:sz="0" w:space="0" w:color="auto"/>
            <w:right w:val="none" w:sz="0" w:space="0" w:color="auto"/>
          </w:divBdr>
        </w:div>
      </w:divsChild>
    </w:div>
    <w:div w:id="1734038292">
      <w:bodyDiv w:val="1"/>
      <w:marLeft w:val="0"/>
      <w:marRight w:val="0"/>
      <w:marTop w:val="0"/>
      <w:marBottom w:val="0"/>
      <w:divBdr>
        <w:top w:val="none" w:sz="0" w:space="0" w:color="auto"/>
        <w:left w:val="none" w:sz="0" w:space="0" w:color="auto"/>
        <w:bottom w:val="none" w:sz="0" w:space="0" w:color="auto"/>
        <w:right w:val="none" w:sz="0" w:space="0" w:color="auto"/>
      </w:divBdr>
      <w:divsChild>
        <w:div w:id="183793125">
          <w:marLeft w:val="446"/>
          <w:marRight w:val="0"/>
          <w:marTop w:val="0"/>
          <w:marBottom w:val="120"/>
          <w:divBdr>
            <w:top w:val="none" w:sz="0" w:space="0" w:color="auto"/>
            <w:left w:val="none" w:sz="0" w:space="0" w:color="auto"/>
            <w:bottom w:val="none" w:sz="0" w:space="0" w:color="auto"/>
            <w:right w:val="none" w:sz="0" w:space="0" w:color="auto"/>
          </w:divBdr>
        </w:div>
        <w:div w:id="1713457706">
          <w:marLeft w:val="446"/>
          <w:marRight w:val="0"/>
          <w:marTop w:val="0"/>
          <w:marBottom w:val="120"/>
          <w:divBdr>
            <w:top w:val="none" w:sz="0" w:space="0" w:color="auto"/>
            <w:left w:val="none" w:sz="0" w:space="0" w:color="auto"/>
            <w:bottom w:val="none" w:sz="0" w:space="0" w:color="auto"/>
            <w:right w:val="none" w:sz="0" w:space="0" w:color="auto"/>
          </w:divBdr>
        </w:div>
        <w:div w:id="994146722">
          <w:marLeft w:val="446"/>
          <w:marRight w:val="0"/>
          <w:marTop w:val="0"/>
          <w:marBottom w:val="120"/>
          <w:divBdr>
            <w:top w:val="none" w:sz="0" w:space="0" w:color="auto"/>
            <w:left w:val="none" w:sz="0" w:space="0" w:color="auto"/>
            <w:bottom w:val="none" w:sz="0" w:space="0" w:color="auto"/>
            <w:right w:val="none" w:sz="0" w:space="0" w:color="auto"/>
          </w:divBdr>
        </w:div>
        <w:div w:id="829713662">
          <w:marLeft w:val="446"/>
          <w:marRight w:val="0"/>
          <w:marTop w:val="0"/>
          <w:marBottom w:val="120"/>
          <w:divBdr>
            <w:top w:val="none" w:sz="0" w:space="0" w:color="auto"/>
            <w:left w:val="none" w:sz="0" w:space="0" w:color="auto"/>
            <w:bottom w:val="none" w:sz="0" w:space="0" w:color="auto"/>
            <w:right w:val="none" w:sz="0" w:space="0" w:color="auto"/>
          </w:divBdr>
        </w:div>
      </w:divsChild>
    </w:div>
    <w:div w:id="19873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a.org/housing-news/sen-edwards-rep-arciero-named-chairs-of-housing-committee" TargetMode="External"/><Relationship Id="rId3" Type="http://schemas.openxmlformats.org/officeDocument/2006/relationships/settings" Target="settings.xml"/><Relationship Id="rId7" Type="http://schemas.openxmlformats.org/officeDocument/2006/relationships/hyperlink" Target="https://www.mass.gov/news/gorzkowicz-rodrigues-michlewitz-announce-consensus-revenue-forecast-of-40410-billion-for-fiscal-year-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r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4</cp:revision>
  <dcterms:created xsi:type="dcterms:W3CDTF">2023-02-22T18:09:00Z</dcterms:created>
  <dcterms:modified xsi:type="dcterms:W3CDTF">2023-02-23T21:38:00Z</dcterms:modified>
</cp:coreProperties>
</file>