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32C5" w14:textId="77777777" w:rsidR="00633B20" w:rsidRDefault="00060010" w:rsidP="00060010">
      <w:pPr>
        <w:ind w:left="720" w:hanging="360"/>
        <w:jc w:val="center"/>
        <w:rPr>
          <w:b/>
          <w:bCs/>
        </w:rPr>
      </w:pPr>
      <w:r>
        <w:rPr>
          <w:b/>
          <w:bCs/>
        </w:rPr>
        <w:t xml:space="preserve">REQUIREMENTS </w:t>
      </w:r>
      <w:r w:rsidR="00633B20">
        <w:rPr>
          <w:b/>
          <w:bCs/>
        </w:rPr>
        <w:t>FOR AN AFFORDABLE HOUSING AGREEMENT</w:t>
      </w:r>
    </w:p>
    <w:p w14:paraId="11647F2A" w14:textId="302C940C" w:rsidR="00060010" w:rsidRDefault="00060010" w:rsidP="00060010">
      <w:pPr>
        <w:ind w:left="720" w:hanging="360"/>
        <w:jc w:val="center"/>
        <w:rPr>
          <w:b/>
          <w:bCs/>
        </w:rPr>
      </w:pPr>
      <w:r>
        <w:rPr>
          <w:b/>
          <w:bCs/>
        </w:rPr>
        <w:t>ATTACHING TO PUBLIC HOUSING TRANSFERRED TO A NEW OWNERSHIP ENTITY</w:t>
      </w:r>
      <w:r w:rsidR="00633B20">
        <w:rPr>
          <w:b/>
          <w:bCs/>
        </w:rPr>
        <w:t xml:space="preserve">: </w:t>
      </w:r>
    </w:p>
    <w:p w14:paraId="1AF9CFE3" w14:textId="77777777" w:rsidR="00060010" w:rsidRPr="00060010" w:rsidRDefault="00060010" w:rsidP="00060010">
      <w:pPr>
        <w:ind w:left="720" w:hanging="360"/>
        <w:jc w:val="center"/>
        <w:rPr>
          <w:b/>
          <w:bCs/>
        </w:rPr>
      </w:pPr>
    </w:p>
    <w:p w14:paraId="1BBE344E" w14:textId="576F276D" w:rsidR="00146F34" w:rsidRPr="00060010" w:rsidRDefault="002C02DA" w:rsidP="00060010">
      <w:pPr>
        <w:pStyle w:val="BodyTextIndent2"/>
        <w:numPr>
          <w:ilvl w:val="0"/>
          <w:numId w:val="12"/>
        </w:numPr>
        <w:jc w:val="both"/>
        <w:rPr>
          <w:szCs w:val="24"/>
        </w:rPr>
      </w:pPr>
      <w:r w:rsidRPr="00060010">
        <w:rPr>
          <w:szCs w:val="24"/>
          <w:u w:val="single"/>
        </w:rPr>
        <w:t>Definitions</w:t>
      </w:r>
    </w:p>
    <w:p w14:paraId="6AE963AF" w14:textId="77777777" w:rsidR="00146F34" w:rsidRPr="00531918" w:rsidRDefault="005B0AB0" w:rsidP="001D7031">
      <w:pPr>
        <w:ind w:firstLine="720"/>
        <w:jc w:val="both"/>
        <w:rPr>
          <w:szCs w:val="24"/>
        </w:rPr>
      </w:pPr>
    </w:p>
    <w:p w14:paraId="24F2688F" w14:textId="3721E0C5" w:rsidR="00146F34" w:rsidRPr="00531918" w:rsidRDefault="002C02DA" w:rsidP="00E07E42">
      <w:pPr>
        <w:ind w:firstLine="720"/>
        <w:jc w:val="both"/>
        <w:rPr>
          <w:szCs w:val="24"/>
        </w:rPr>
      </w:pPr>
      <w:r w:rsidRPr="00531918">
        <w:rPr>
          <w:b/>
          <w:szCs w:val="24"/>
        </w:rPr>
        <w:t>“Affordable Housing”</w:t>
      </w:r>
      <w:r w:rsidRPr="00531918">
        <w:rPr>
          <w:szCs w:val="24"/>
        </w:rPr>
        <w:t xml:space="preserve"> shall mean housing rented or offered for rent only to persons comprising Households of Low Income at the time of</w:t>
      </w:r>
      <w:r w:rsidR="00A655B1" w:rsidRPr="00531918">
        <w:rPr>
          <w:szCs w:val="24"/>
        </w:rPr>
        <w:t xml:space="preserve"> initial</w:t>
      </w:r>
      <w:r w:rsidRPr="00531918">
        <w:rPr>
          <w:szCs w:val="24"/>
        </w:rPr>
        <w:t xml:space="preserve"> occupancy. </w:t>
      </w:r>
    </w:p>
    <w:p w14:paraId="02A20A2C" w14:textId="77777777" w:rsidR="0037285D" w:rsidRPr="00531918" w:rsidRDefault="005B0AB0" w:rsidP="001D7031">
      <w:pPr>
        <w:jc w:val="both"/>
        <w:rPr>
          <w:szCs w:val="24"/>
        </w:rPr>
      </w:pPr>
    </w:p>
    <w:p w14:paraId="1D6CF3C2" w14:textId="54722666" w:rsidR="00146F34" w:rsidRPr="00531918" w:rsidRDefault="002C02DA" w:rsidP="001D7031">
      <w:pPr>
        <w:jc w:val="both"/>
        <w:rPr>
          <w:szCs w:val="24"/>
        </w:rPr>
      </w:pPr>
      <w:r w:rsidRPr="00531918">
        <w:rPr>
          <w:szCs w:val="24"/>
        </w:rPr>
        <w:t xml:space="preserve">Without limiting the foregoing, units supported under any Section 8 Housing Assistance Payments </w:t>
      </w:r>
      <w:proofErr w:type="gramStart"/>
      <w:r w:rsidRPr="00531918">
        <w:rPr>
          <w:szCs w:val="24"/>
        </w:rPr>
        <w:t>Contract</w:t>
      </w:r>
      <w:proofErr w:type="gramEnd"/>
      <w:r w:rsidRPr="00531918">
        <w:rPr>
          <w:szCs w:val="24"/>
        </w:rPr>
        <w:t xml:space="preserve"> or any Massachusetts subsidy contract entered into by the Owner relative to any units in the Premises, or subject to restriction under Section 42 of the Internal Revenue Code shall constitute Affordable Housing.  </w:t>
      </w:r>
    </w:p>
    <w:p w14:paraId="77D00EAD" w14:textId="77777777" w:rsidR="00146F34" w:rsidRPr="00531918" w:rsidRDefault="005B0AB0" w:rsidP="001D7031">
      <w:pPr>
        <w:jc w:val="both"/>
        <w:rPr>
          <w:szCs w:val="24"/>
        </w:rPr>
      </w:pPr>
    </w:p>
    <w:p w14:paraId="18CCB890" w14:textId="39FF61CF" w:rsidR="003262E7" w:rsidRDefault="002C02DA" w:rsidP="001D7031">
      <w:pPr>
        <w:jc w:val="both"/>
        <w:rPr>
          <w:szCs w:val="24"/>
        </w:rPr>
      </w:pPr>
      <w:r w:rsidRPr="00531918">
        <w:rPr>
          <w:szCs w:val="24"/>
        </w:rPr>
        <w:tab/>
      </w:r>
      <w:r w:rsidRPr="00531918">
        <w:rPr>
          <w:b/>
          <w:szCs w:val="24"/>
        </w:rPr>
        <w:t>“Affordable Units”</w:t>
      </w:r>
      <w:r w:rsidRPr="00531918">
        <w:rPr>
          <w:szCs w:val="24"/>
        </w:rPr>
        <w:t xml:space="preserve"> means </w:t>
      </w:r>
      <w:r w:rsidR="00060010">
        <w:rPr>
          <w:szCs w:val="24"/>
        </w:rPr>
        <w:t>any rental unit</w:t>
      </w:r>
      <w:r w:rsidR="00633B20">
        <w:rPr>
          <w:szCs w:val="24"/>
        </w:rPr>
        <w:t>s</w:t>
      </w:r>
      <w:r w:rsidR="00060010">
        <w:rPr>
          <w:szCs w:val="24"/>
        </w:rPr>
        <w:t xml:space="preserve"> </w:t>
      </w:r>
      <w:r w:rsidR="00633B20">
        <w:rPr>
          <w:szCs w:val="24"/>
        </w:rPr>
        <w:t xml:space="preserve">in a development that are limited to occupancy by a Household of Low Income. </w:t>
      </w:r>
    </w:p>
    <w:p w14:paraId="11DCBE6A" w14:textId="5C8198D6" w:rsidR="00060010" w:rsidRDefault="00060010" w:rsidP="001D7031">
      <w:pPr>
        <w:jc w:val="both"/>
        <w:rPr>
          <w:szCs w:val="24"/>
        </w:rPr>
      </w:pPr>
    </w:p>
    <w:p w14:paraId="72D129A6" w14:textId="4CB33910" w:rsidR="00060010" w:rsidRDefault="00060010" w:rsidP="001D7031">
      <w:pPr>
        <w:jc w:val="both"/>
        <w:rPr>
          <w:szCs w:val="24"/>
        </w:rPr>
      </w:pPr>
      <w:r>
        <w:rPr>
          <w:szCs w:val="24"/>
        </w:rPr>
        <w:tab/>
      </w:r>
      <w:r w:rsidRPr="00060010">
        <w:rPr>
          <w:b/>
          <w:bCs/>
          <w:szCs w:val="24"/>
        </w:rPr>
        <w:t>“</w:t>
      </w:r>
      <w:r>
        <w:rPr>
          <w:b/>
          <w:bCs/>
          <w:szCs w:val="24"/>
        </w:rPr>
        <w:t xml:space="preserve">DHCD” </w:t>
      </w:r>
      <w:r>
        <w:rPr>
          <w:szCs w:val="24"/>
        </w:rPr>
        <w:t xml:space="preserve">means the Department of Housing and Community </w:t>
      </w:r>
      <w:proofErr w:type="spellStart"/>
      <w:r>
        <w:rPr>
          <w:szCs w:val="24"/>
        </w:rPr>
        <w:t>Developoment</w:t>
      </w:r>
      <w:proofErr w:type="spellEnd"/>
      <w:r>
        <w:rPr>
          <w:szCs w:val="24"/>
        </w:rPr>
        <w:t xml:space="preserve"> of the </w:t>
      </w:r>
    </w:p>
    <w:p w14:paraId="47243E04" w14:textId="26EC229D" w:rsidR="00492DEE" w:rsidRPr="00492DEE" w:rsidRDefault="00060010" w:rsidP="001D7031">
      <w:pPr>
        <w:jc w:val="both"/>
        <w:rPr>
          <w:szCs w:val="24"/>
        </w:rPr>
      </w:pPr>
      <w:r>
        <w:rPr>
          <w:szCs w:val="24"/>
        </w:rPr>
        <w:t>Commonwealth of Massachusetts.</w:t>
      </w:r>
    </w:p>
    <w:p w14:paraId="2BDC95A4" w14:textId="77777777" w:rsidR="00146F34" w:rsidRPr="00531918" w:rsidRDefault="005B0AB0" w:rsidP="001D7031">
      <w:pPr>
        <w:jc w:val="both"/>
        <w:rPr>
          <w:szCs w:val="24"/>
        </w:rPr>
      </w:pPr>
    </w:p>
    <w:p w14:paraId="48656C06" w14:textId="05DC5B46" w:rsidR="00146F34" w:rsidRPr="00531918" w:rsidRDefault="002C02DA" w:rsidP="001D7031">
      <w:pPr>
        <w:jc w:val="both"/>
        <w:rPr>
          <w:szCs w:val="24"/>
        </w:rPr>
      </w:pPr>
      <w:r w:rsidRPr="00531918">
        <w:rPr>
          <w:szCs w:val="24"/>
        </w:rPr>
        <w:tab/>
      </w:r>
      <w:r w:rsidRPr="00531918">
        <w:rPr>
          <w:b/>
          <w:szCs w:val="24"/>
        </w:rPr>
        <w:t>“Owner”</w:t>
      </w:r>
      <w:r w:rsidRPr="00531918">
        <w:rPr>
          <w:szCs w:val="24"/>
        </w:rPr>
        <w:t xml:space="preserve"> means all legal and equitable owners of the </w:t>
      </w:r>
      <w:r w:rsidR="00060010">
        <w:rPr>
          <w:szCs w:val="24"/>
        </w:rPr>
        <w:t>property</w:t>
      </w:r>
      <w:r w:rsidRPr="00531918">
        <w:rPr>
          <w:szCs w:val="24"/>
        </w:rPr>
        <w:t>, for so long as it holds title to the Premises, any subsequent owner by conveyance of title to the Premises, and any heir, successor or assign of any person holding an interest in the Premises.</w:t>
      </w:r>
    </w:p>
    <w:p w14:paraId="75EE0BE7" w14:textId="77777777" w:rsidR="00146F34" w:rsidRPr="00531918" w:rsidRDefault="005B0AB0" w:rsidP="001D7031">
      <w:pPr>
        <w:jc w:val="both"/>
        <w:rPr>
          <w:szCs w:val="24"/>
        </w:rPr>
      </w:pPr>
    </w:p>
    <w:p w14:paraId="484B8212" w14:textId="77777777" w:rsidR="00146F34" w:rsidRPr="00531918" w:rsidRDefault="002C02DA" w:rsidP="001D7031">
      <w:pPr>
        <w:jc w:val="both"/>
        <w:rPr>
          <w:szCs w:val="24"/>
        </w:rPr>
      </w:pPr>
      <w:r w:rsidRPr="00531918">
        <w:rPr>
          <w:szCs w:val="24"/>
        </w:rPr>
        <w:tab/>
      </w:r>
      <w:r w:rsidRPr="00531918">
        <w:rPr>
          <w:b/>
          <w:szCs w:val="24"/>
        </w:rPr>
        <w:t>“Household”</w:t>
      </w:r>
      <w:r w:rsidRPr="00531918">
        <w:rPr>
          <w:szCs w:val="24"/>
        </w:rPr>
        <w:t xml:space="preserve"> means all persons who reside or will reside together in a unit at the Premises.</w:t>
      </w:r>
    </w:p>
    <w:p w14:paraId="13C9CEC6" w14:textId="77777777" w:rsidR="00146F34" w:rsidRPr="00531918" w:rsidRDefault="005B0AB0" w:rsidP="001D7031">
      <w:pPr>
        <w:jc w:val="both"/>
        <w:rPr>
          <w:szCs w:val="24"/>
        </w:rPr>
      </w:pPr>
    </w:p>
    <w:p w14:paraId="368F68E1" w14:textId="768959E2" w:rsidR="00492DEE" w:rsidRDefault="002C02DA" w:rsidP="00060010">
      <w:pPr>
        <w:jc w:val="both"/>
        <w:rPr>
          <w:szCs w:val="24"/>
        </w:rPr>
      </w:pPr>
      <w:r w:rsidRPr="00531918">
        <w:rPr>
          <w:szCs w:val="24"/>
        </w:rPr>
        <w:tab/>
      </w:r>
      <w:r w:rsidRPr="00531918">
        <w:rPr>
          <w:b/>
          <w:szCs w:val="24"/>
        </w:rPr>
        <w:t>“Low Income”</w:t>
      </w:r>
      <w:r w:rsidRPr="00531918">
        <w:rPr>
          <w:szCs w:val="24"/>
        </w:rPr>
        <w:t xml:space="preserve"> means household income not exceeding eighty percent (80%) of the Standard Metropolitan Statistical Area income for the Boston Area as determined by the United States Department of Labor, adjusted for family </w:t>
      </w:r>
      <w:proofErr w:type="gramStart"/>
      <w:r w:rsidRPr="00531918">
        <w:rPr>
          <w:szCs w:val="24"/>
        </w:rPr>
        <w:t>size</w:t>
      </w:r>
      <w:proofErr w:type="gramEnd"/>
      <w:r w:rsidRPr="00531918">
        <w:rPr>
          <w:szCs w:val="24"/>
        </w:rPr>
        <w:t xml:space="preserve"> and published by the United States Department of Housing and Urban Development under Section 8 of the Housing Act of 1937, or any successor act thereto (“Boston Area Income”).</w:t>
      </w:r>
    </w:p>
    <w:p w14:paraId="360AE725" w14:textId="77777777" w:rsidR="00060010" w:rsidRPr="00531918" w:rsidRDefault="00060010" w:rsidP="00060010">
      <w:pPr>
        <w:jc w:val="both"/>
        <w:rPr>
          <w:szCs w:val="24"/>
        </w:rPr>
      </w:pPr>
    </w:p>
    <w:p w14:paraId="5B6FFA34" w14:textId="1263350C" w:rsidR="00146F34" w:rsidRPr="00531918" w:rsidRDefault="002C02DA" w:rsidP="001D7031">
      <w:pPr>
        <w:jc w:val="both"/>
        <w:rPr>
          <w:szCs w:val="24"/>
        </w:rPr>
      </w:pPr>
      <w:r w:rsidRPr="00531918">
        <w:rPr>
          <w:szCs w:val="24"/>
        </w:rPr>
        <w:tab/>
      </w:r>
      <w:r w:rsidRPr="00531918">
        <w:rPr>
          <w:b/>
          <w:szCs w:val="24"/>
        </w:rPr>
        <w:t>“Rent”,</w:t>
      </w:r>
      <w:r w:rsidRPr="00531918">
        <w:rPr>
          <w:szCs w:val="24"/>
        </w:rPr>
        <w:t xml:space="preserve"> where capitalized, means all amounts received by the Owner </w:t>
      </w:r>
      <w:r w:rsidR="00060010">
        <w:rPr>
          <w:szCs w:val="24"/>
        </w:rPr>
        <w:t>for the tenant’s portion of the rent.</w:t>
      </w:r>
    </w:p>
    <w:p w14:paraId="71DE8437" w14:textId="77777777" w:rsidR="00146F34" w:rsidRPr="00531918" w:rsidRDefault="005B0AB0" w:rsidP="001D7031">
      <w:pPr>
        <w:jc w:val="both"/>
        <w:rPr>
          <w:szCs w:val="24"/>
        </w:rPr>
      </w:pPr>
    </w:p>
    <w:p w14:paraId="00831E55" w14:textId="6AE6327E" w:rsidR="00146F34" w:rsidRPr="00531918" w:rsidRDefault="002C02DA" w:rsidP="001D7031">
      <w:pPr>
        <w:jc w:val="both"/>
        <w:rPr>
          <w:szCs w:val="24"/>
        </w:rPr>
      </w:pPr>
      <w:r w:rsidRPr="00531918">
        <w:rPr>
          <w:szCs w:val="24"/>
        </w:rPr>
        <w:tab/>
      </w:r>
      <w:r w:rsidRPr="00531918">
        <w:rPr>
          <w:b/>
          <w:szCs w:val="24"/>
        </w:rPr>
        <w:t>“Term”</w:t>
      </w:r>
      <w:r w:rsidRPr="00531918">
        <w:rPr>
          <w:szCs w:val="24"/>
        </w:rPr>
        <w:t xml:space="preserve"> shall mean that period during which the covenants and restrictions are legally enforceable against the Premises, which shall </w:t>
      </w:r>
      <w:r w:rsidR="00F12F3C" w:rsidRPr="00531918">
        <w:rPr>
          <w:szCs w:val="24"/>
        </w:rPr>
        <w:t>be in</w:t>
      </w:r>
      <w:r w:rsidRPr="00531918">
        <w:rPr>
          <w:szCs w:val="24"/>
        </w:rPr>
        <w:t xml:space="preserve"> perpetuity.</w:t>
      </w:r>
    </w:p>
    <w:p w14:paraId="412F492B" w14:textId="77777777" w:rsidR="00146F34" w:rsidRPr="00531918" w:rsidRDefault="005B0AB0" w:rsidP="001D7031">
      <w:pPr>
        <w:jc w:val="both"/>
        <w:rPr>
          <w:szCs w:val="24"/>
        </w:rPr>
      </w:pPr>
    </w:p>
    <w:p w14:paraId="37DE769C" w14:textId="38DCE4BB" w:rsidR="00146F34" w:rsidRPr="00060010" w:rsidRDefault="002C02DA" w:rsidP="00060010">
      <w:pPr>
        <w:pStyle w:val="ListParagraph"/>
        <w:numPr>
          <w:ilvl w:val="0"/>
          <w:numId w:val="12"/>
        </w:numPr>
        <w:jc w:val="both"/>
        <w:rPr>
          <w:szCs w:val="24"/>
        </w:rPr>
      </w:pPr>
      <w:r w:rsidRPr="00060010">
        <w:rPr>
          <w:szCs w:val="24"/>
          <w:u w:val="single"/>
        </w:rPr>
        <w:t>Rents on Affordable Units</w:t>
      </w:r>
      <w:r w:rsidRPr="00060010">
        <w:rPr>
          <w:szCs w:val="24"/>
        </w:rPr>
        <w:t xml:space="preserve">.  </w:t>
      </w:r>
      <w:r w:rsidR="00060010" w:rsidRPr="00060010">
        <w:rPr>
          <w:szCs w:val="24"/>
        </w:rPr>
        <w:t>T</w:t>
      </w:r>
      <w:r w:rsidRPr="00060010">
        <w:rPr>
          <w:szCs w:val="24"/>
        </w:rPr>
        <w:t xml:space="preserve">enants of the Affordable Units (“Tenants”) qualifying under the foregoing definition of Low Income shall pay no more than thirty percent (30%) of their adjusted income, established initially at the date of the Tenant’s initial occupancy, including utility payments, as rent, adjusted as may be permitted or required by a subsidy program which provides funds to maintain and operate the Premises as Affordable Housing, and if there is no such program, adjusted at least </w:t>
      </w:r>
      <w:proofErr w:type="spellStart"/>
      <w:r w:rsidRPr="00060010">
        <w:rPr>
          <w:szCs w:val="24"/>
        </w:rPr>
        <w:t>triannually</w:t>
      </w:r>
      <w:proofErr w:type="spellEnd"/>
      <w:r w:rsidRPr="00060010">
        <w:rPr>
          <w:szCs w:val="24"/>
        </w:rPr>
        <w:t>.</w:t>
      </w:r>
    </w:p>
    <w:p w14:paraId="7DDEDD8D" w14:textId="15581A18" w:rsidR="00633B20" w:rsidRDefault="00633B20">
      <w:pPr>
        <w:rPr>
          <w:szCs w:val="24"/>
        </w:rPr>
      </w:pPr>
      <w:r>
        <w:rPr>
          <w:szCs w:val="24"/>
        </w:rPr>
        <w:br w:type="page"/>
      </w:r>
    </w:p>
    <w:p w14:paraId="6FEDC0AA" w14:textId="77777777" w:rsidR="00146F34" w:rsidRPr="00531918" w:rsidRDefault="005B0AB0" w:rsidP="001D7031">
      <w:pPr>
        <w:jc w:val="both"/>
        <w:rPr>
          <w:szCs w:val="24"/>
        </w:rPr>
      </w:pPr>
    </w:p>
    <w:p w14:paraId="69E65B23" w14:textId="77777777" w:rsidR="00146F34" w:rsidRPr="00531918" w:rsidRDefault="005B0AB0" w:rsidP="001D7031">
      <w:pPr>
        <w:jc w:val="both"/>
        <w:rPr>
          <w:szCs w:val="24"/>
        </w:rPr>
      </w:pPr>
    </w:p>
    <w:p w14:paraId="7AC57F56" w14:textId="5BCB91C6" w:rsidR="00146F34" w:rsidRPr="00060010" w:rsidRDefault="002C02DA" w:rsidP="00060010">
      <w:pPr>
        <w:pStyle w:val="ListParagraph"/>
        <w:numPr>
          <w:ilvl w:val="0"/>
          <w:numId w:val="12"/>
        </w:numPr>
        <w:jc w:val="both"/>
        <w:rPr>
          <w:szCs w:val="24"/>
        </w:rPr>
      </w:pPr>
      <w:r w:rsidRPr="00060010">
        <w:rPr>
          <w:szCs w:val="24"/>
        </w:rPr>
        <w:t xml:space="preserve"> </w:t>
      </w:r>
      <w:r w:rsidRPr="00060010">
        <w:rPr>
          <w:szCs w:val="24"/>
          <w:u w:val="single"/>
        </w:rPr>
        <w:t>Tenant Rights</w:t>
      </w:r>
    </w:p>
    <w:p w14:paraId="05B2F8E3" w14:textId="77777777" w:rsidR="008234EA" w:rsidRPr="00531918" w:rsidRDefault="005B0AB0" w:rsidP="00B04A1D">
      <w:pPr>
        <w:jc w:val="both"/>
        <w:rPr>
          <w:szCs w:val="24"/>
          <w:u w:val="single"/>
        </w:rPr>
      </w:pPr>
    </w:p>
    <w:p w14:paraId="3E02CCA5" w14:textId="19107D2A" w:rsidR="008234EA" w:rsidRPr="00531918" w:rsidRDefault="002C02DA" w:rsidP="00531918">
      <w:pPr>
        <w:ind w:left="720"/>
        <w:rPr>
          <w:szCs w:val="24"/>
        </w:rPr>
      </w:pPr>
      <w:r w:rsidRPr="00531918">
        <w:rPr>
          <w:szCs w:val="24"/>
        </w:rPr>
        <w:t>Tenants</w:t>
      </w:r>
      <w:r w:rsidR="00060010">
        <w:rPr>
          <w:szCs w:val="24"/>
        </w:rPr>
        <w:t xml:space="preserve"> </w:t>
      </w:r>
      <w:r w:rsidRPr="00531918">
        <w:rPr>
          <w:szCs w:val="24"/>
        </w:rPr>
        <w:t xml:space="preserve">and applicants shall continue to have the following rights in perpetuity regardless of the form of ownership entity: </w:t>
      </w:r>
    </w:p>
    <w:p w14:paraId="0C71A7EB" w14:textId="77777777" w:rsidR="00B20AA6" w:rsidRPr="00531918" w:rsidRDefault="005B0AB0" w:rsidP="00B2106C">
      <w:pPr>
        <w:rPr>
          <w:szCs w:val="24"/>
        </w:rPr>
      </w:pPr>
    </w:p>
    <w:p w14:paraId="5D34CA62" w14:textId="01B3E9BD" w:rsidR="008234EA" w:rsidRPr="00060010" w:rsidRDefault="00060010" w:rsidP="00AF4963">
      <w:pPr>
        <w:pStyle w:val="ListParagraph"/>
        <w:numPr>
          <w:ilvl w:val="1"/>
          <w:numId w:val="7"/>
        </w:numPr>
        <w:ind w:left="0" w:firstLine="1440"/>
        <w:rPr>
          <w:szCs w:val="24"/>
        </w:rPr>
      </w:pPr>
      <w:r w:rsidRPr="00060010">
        <w:rPr>
          <w:szCs w:val="24"/>
          <w:u w:val="single"/>
        </w:rPr>
        <w:t>Units to be operate</w:t>
      </w:r>
      <w:r>
        <w:rPr>
          <w:szCs w:val="24"/>
          <w:u w:val="single"/>
        </w:rPr>
        <w:t>d</w:t>
      </w:r>
      <w:r w:rsidRPr="00060010">
        <w:rPr>
          <w:szCs w:val="24"/>
          <w:u w:val="single"/>
        </w:rPr>
        <w:t xml:space="preserve"> as </w:t>
      </w:r>
      <w:r w:rsidR="002C02DA" w:rsidRPr="00060010">
        <w:rPr>
          <w:szCs w:val="24"/>
          <w:u w:val="single"/>
        </w:rPr>
        <w:t>Affordable Units</w:t>
      </w:r>
    </w:p>
    <w:p w14:paraId="594A7C70" w14:textId="0FAB74D3" w:rsidR="00060010" w:rsidRDefault="00060010" w:rsidP="000360ED">
      <w:pPr>
        <w:pStyle w:val="ListParagraph"/>
        <w:numPr>
          <w:ilvl w:val="1"/>
          <w:numId w:val="7"/>
        </w:numPr>
        <w:ind w:left="0" w:firstLine="1440"/>
        <w:rPr>
          <w:szCs w:val="24"/>
        </w:rPr>
      </w:pPr>
      <w:r>
        <w:rPr>
          <w:szCs w:val="24"/>
          <w:u w:val="single"/>
        </w:rPr>
        <w:t>Lease and Grievance</w:t>
      </w:r>
      <w:r>
        <w:rPr>
          <w:szCs w:val="24"/>
        </w:rPr>
        <w:t xml:space="preserve"> </w:t>
      </w:r>
      <w:r w:rsidRPr="00060010">
        <w:rPr>
          <w:szCs w:val="24"/>
          <w:u w:val="single"/>
        </w:rPr>
        <w:t>Rights</w:t>
      </w:r>
    </w:p>
    <w:p w14:paraId="4D450537" w14:textId="66498244" w:rsidR="008234EA" w:rsidRPr="00531918" w:rsidRDefault="00060010" w:rsidP="00060010">
      <w:pPr>
        <w:pStyle w:val="ListParagraph"/>
        <w:numPr>
          <w:ilvl w:val="2"/>
          <w:numId w:val="7"/>
        </w:numPr>
        <w:rPr>
          <w:szCs w:val="24"/>
        </w:rPr>
      </w:pPr>
      <w:r>
        <w:rPr>
          <w:szCs w:val="24"/>
        </w:rPr>
        <w:t>T</w:t>
      </w:r>
      <w:r w:rsidR="002C02DA" w:rsidRPr="00531918">
        <w:rPr>
          <w:szCs w:val="24"/>
        </w:rPr>
        <w:t xml:space="preserve">he resident’s grievance rights pertaining to individual circumstances of the tenant shall include the right to notice of owner action sufficient to prepare a defense, good cause prior to termination of tenancy, the right to file a grievance, a fair hearing before persons not involved in the initial decision, the right to examination of all evidence and the right to present evidence, the right to bring an advocate or attorney to the hearing, and a written decision on the grievance specifying the facts and conclusions based on the evidence submitted at the hearing and (ii) good cause for eviction shall not include an eviction for any criminal conduct, by tenant or a household member or guest, where </w:t>
      </w:r>
      <w:r w:rsidR="002C02DA" w:rsidRPr="00531918">
        <w:rPr>
          <w:i/>
          <w:iCs/>
          <w:szCs w:val="24"/>
        </w:rPr>
        <w:t xml:space="preserve"> </w:t>
      </w:r>
      <w:r w:rsidR="002C02DA" w:rsidRPr="00531918">
        <w:rPr>
          <w:iCs/>
          <w:szCs w:val="24"/>
        </w:rPr>
        <w:t>the tenant could not have foreseen the misconduct, or was unable to prevent it by any available means</w:t>
      </w:r>
      <w:r w:rsidR="002C02DA" w:rsidRPr="00531918">
        <w:rPr>
          <w:szCs w:val="24"/>
        </w:rPr>
        <w:t>;</w:t>
      </w:r>
    </w:p>
    <w:p w14:paraId="6BE5F33B" w14:textId="77777777" w:rsidR="008234EA" w:rsidRPr="00531918" w:rsidRDefault="005B0AB0" w:rsidP="008234EA">
      <w:pPr>
        <w:pStyle w:val="ListParagraph"/>
        <w:rPr>
          <w:szCs w:val="24"/>
        </w:rPr>
      </w:pPr>
    </w:p>
    <w:p w14:paraId="6FB11FFB" w14:textId="0F590567" w:rsidR="008234EA" w:rsidRPr="00531918" w:rsidRDefault="002C02DA" w:rsidP="000360ED">
      <w:pPr>
        <w:pStyle w:val="ListParagraph"/>
        <w:numPr>
          <w:ilvl w:val="1"/>
          <w:numId w:val="7"/>
        </w:numPr>
        <w:ind w:left="0" w:firstLine="1440"/>
        <w:rPr>
          <w:szCs w:val="24"/>
        </w:rPr>
      </w:pPr>
      <w:r w:rsidRPr="00531918">
        <w:rPr>
          <w:szCs w:val="24"/>
          <w:u w:val="single"/>
        </w:rPr>
        <w:t>Resident Participation Rights</w:t>
      </w:r>
      <w:r w:rsidRPr="00531918">
        <w:rPr>
          <w:szCs w:val="24"/>
        </w:rPr>
        <w:t xml:space="preserve">.  Resident participation rights, including the right to form a local tenant organization, which rights shall be no less than what is provided for residents of state public </w:t>
      </w:r>
      <w:proofErr w:type="gramStart"/>
      <w:r w:rsidRPr="00531918">
        <w:rPr>
          <w:szCs w:val="24"/>
        </w:rPr>
        <w:t>housing;</w:t>
      </w:r>
      <w:proofErr w:type="gramEnd"/>
      <w:r w:rsidRPr="00531918">
        <w:rPr>
          <w:szCs w:val="24"/>
        </w:rPr>
        <w:t xml:space="preserve"> </w:t>
      </w:r>
    </w:p>
    <w:p w14:paraId="7924E2A1" w14:textId="77777777" w:rsidR="008234EA" w:rsidRPr="00531918" w:rsidRDefault="005B0AB0" w:rsidP="008234EA">
      <w:pPr>
        <w:pStyle w:val="ListParagraph"/>
        <w:rPr>
          <w:szCs w:val="24"/>
        </w:rPr>
      </w:pPr>
    </w:p>
    <w:p w14:paraId="5FB94068" w14:textId="77777777" w:rsidR="00060010" w:rsidRDefault="002C02DA" w:rsidP="00060010">
      <w:pPr>
        <w:pStyle w:val="ListParagraph"/>
        <w:numPr>
          <w:ilvl w:val="1"/>
          <w:numId w:val="7"/>
        </w:numPr>
        <w:ind w:left="0" w:firstLine="1440"/>
        <w:rPr>
          <w:szCs w:val="24"/>
        </w:rPr>
      </w:pPr>
      <w:r w:rsidRPr="00531918">
        <w:rPr>
          <w:szCs w:val="24"/>
          <w:u w:val="single"/>
        </w:rPr>
        <w:t>Public Records Access</w:t>
      </w:r>
      <w:r w:rsidRPr="00531918">
        <w:rPr>
          <w:szCs w:val="24"/>
        </w:rPr>
        <w:t>. Continuation of public records accessibility in accordance with M.G.L. c. 66, as it may be amended.</w:t>
      </w:r>
    </w:p>
    <w:p w14:paraId="3729AA8C" w14:textId="77777777" w:rsidR="00060010" w:rsidRPr="00060010" w:rsidRDefault="00060010" w:rsidP="00060010">
      <w:pPr>
        <w:rPr>
          <w:szCs w:val="24"/>
          <w:u w:val="single"/>
        </w:rPr>
      </w:pPr>
    </w:p>
    <w:p w14:paraId="25EF7894" w14:textId="1E84D896" w:rsidR="00187B11" w:rsidRPr="00060010" w:rsidRDefault="00187B11" w:rsidP="00060010">
      <w:pPr>
        <w:pStyle w:val="ListParagraph"/>
        <w:numPr>
          <w:ilvl w:val="0"/>
          <w:numId w:val="12"/>
        </w:numPr>
        <w:rPr>
          <w:szCs w:val="24"/>
        </w:rPr>
      </w:pPr>
      <w:r w:rsidRPr="00060010">
        <w:rPr>
          <w:szCs w:val="24"/>
          <w:u w:val="single"/>
        </w:rPr>
        <w:t xml:space="preserve">Sale or Transfer of </w:t>
      </w:r>
      <w:r w:rsidR="00180D39" w:rsidRPr="00060010">
        <w:rPr>
          <w:szCs w:val="24"/>
          <w:u w:val="single"/>
        </w:rPr>
        <w:t>Premises</w:t>
      </w:r>
      <w:r w:rsidRPr="00060010">
        <w:rPr>
          <w:szCs w:val="24"/>
          <w:u w:val="single"/>
        </w:rPr>
        <w:t xml:space="preserve"> o</w:t>
      </w:r>
      <w:r w:rsidR="00ED74F3" w:rsidRPr="00060010">
        <w:rPr>
          <w:szCs w:val="24"/>
          <w:u w:val="single"/>
        </w:rPr>
        <w:t>r</w:t>
      </w:r>
      <w:r w:rsidRPr="00060010">
        <w:rPr>
          <w:szCs w:val="24"/>
          <w:u w:val="single"/>
        </w:rPr>
        <w:t xml:space="preserve"> Ownership Interest.</w:t>
      </w:r>
    </w:p>
    <w:p w14:paraId="404E30E9" w14:textId="77777777" w:rsidR="00187B11" w:rsidRPr="00531918" w:rsidRDefault="00187B11" w:rsidP="00F12F3C">
      <w:pPr>
        <w:ind w:firstLine="720"/>
        <w:rPr>
          <w:szCs w:val="24"/>
        </w:rPr>
      </w:pPr>
    </w:p>
    <w:p w14:paraId="1C034BB0" w14:textId="59EBA56B" w:rsidR="008234EA" w:rsidRPr="00D907E5" w:rsidRDefault="00060010" w:rsidP="00D907E5">
      <w:pPr>
        <w:rPr>
          <w:color w:val="000000"/>
          <w:szCs w:val="24"/>
        </w:rPr>
      </w:pPr>
      <w:r>
        <w:rPr>
          <w:spacing w:val="4"/>
          <w:szCs w:val="24"/>
          <w:shd w:val="clear" w:color="auto" w:fill="FFFFFF"/>
        </w:rPr>
        <w:t>The</w:t>
      </w:r>
      <w:r w:rsidR="00187B11" w:rsidRPr="00531918">
        <w:rPr>
          <w:spacing w:val="4"/>
          <w:szCs w:val="24"/>
          <w:shd w:val="clear" w:color="auto" w:fill="FFFFFF"/>
        </w:rPr>
        <w:t xml:space="preserve"> </w:t>
      </w:r>
      <w:r w:rsidR="00ED74F3" w:rsidRPr="00531918">
        <w:rPr>
          <w:spacing w:val="4"/>
          <w:szCs w:val="24"/>
          <w:shd w:val="clear" w:color="auto" w:fill="FFFFFF"/>
        </w:rPr>
        <w:t>Owner</w:t>
      </w:r>
      <w:r w:rsidR="00187B11" w:rsidRPr="00531918">
        <w:rPr>
          <w:spacing w:val="4"/>
          <w:szCs w:val="24"/>
          <w:shd w:val="clear" w:color="auto" w:fill="FFFFFF"/>
        </w:rPr>
        <w:t xml:space="preserve"> shall not sell, transfer, convey, rent (except for residential leases or occupancy agreements conforming to the occupancy requirements hereof), encumber as security for financing, or in any other way exchange all or any portion of the </w:t>
      </w:r>
      <w:proofErr w:type="gramStart"/>
      <w:r w:rsidR="00180D39" w:rsidRPr="00531918">
        <w:rPr>
          <w:spacing w:val="4"/>
          <w:szCs w:val="24"/>
          <w:shd w:val="clear" w:color="auto" w:fill="FFFFFF"/>
        </w:rPr>
        <w:t xml:space="preserve">Premises </w:t>
      </w:r>
      <w:r w:rsidR="00187B11" w:rsidRPr="00531918">
        <w:rPr>
          <w:spacing w:val="4"/>
          <w:szCs w:val="24"/>
          <w:shd w:val="clear" w:color="auto" w:fill="FFFFFF"/>
        </w:rPr>
        <w:t> nor</w:t>
      </w:r>
      <w:proofErr w:type="gramEnd"/>
      <w:r w:rsidR="00187B11" w:rsidRPr="00531918">
        <w:rPr>
          <w:spacing w:val="4"/>
          <w:szCs w:val="24"/>
          <w:shd w:val="clear" w:color="auto" w:fill="FFFFFF"/>
        </w:rPr>
        <w:t xml:space="preserve"> shall the </w:t>
      </w:r>
      <w:r w:rsidR="00ED74F3" w:rsidRPr="00531918">
        <w:rPr>
          <w:spacing w:val="4"/>
          <w:szCs w:val="24"/>
          <w:shd w:val="clear" w:color="auto" w:fill="FFFFFF"/>
        </w:rPr>
        <w:t>Owner</w:t>
      </w:r>
      <w:r w:rsidR="00187B11" w:rsidRPr="00531918">
        <w:rPr>
          <w:spacing w:val="4"/>
          <w:szCs w:val="24"/>
          <w:shd w:val="clear" w:color="auto" w:fill="FFFFFF"/>
        </w:rPr>
        <w:t xml:space="preserve"> permit the sale, transfer or pledge of any direct or indirect interests in the </w:t>
      </w:r>
      <w:r w:rsidR="00ED74F3" w:rsidRPr="00531918">
        <w:rPr>
          <w:spacing w:val="4"/>
          <w:szCs w:val="24"/>
          <w:shd w:val="clear" w:color="auto" w:fill="FFFFFF"/>
        </w:rPr>
        <w:t>Owner</w:t>
      </w:r>
      <w:r w:rsidR="00187B11" w:rsidRPr="00531918">
        <w:rPr>
          <w:spacing w:val="4"/>
          <w:szCs w:val="24"/>
          <w:shd w:val="clear" w:color="auto" w:fill="FFFFFF"/>
        </w:rPr>
        <w:t xml:space="preserve">, without the express written permission of </w:t>
      </w:r>
      <w:r>
        <w:rPr>
          <w:spacing w:val="4"/>
          <w:szCs w:val="24"/>
          <w:shd w:val="clear" w:color="auto" w:fill="FFFFFF"/>
        </w:rPr>
        <w:t>DHCD.</w:t>
      </w:r>
      <w:r w:rsidR="00D907E5">
        <w:rPr>
          <w:spacing w:val="4"/>
          <w:szCs w:val="24"/>
          <w:shd w:val="clear" w:color="auto" w:fill="FFFFFF"/>
        </w:rPr>
        <w:t xml:space="preserve"> </w:t>
      </w:r>
      <w:r w:rsidR="00D907E5" w:rsidRPr="00492DEE">
        <w:rPr>
          <w:spacing w:val="4"/>
          <w:szCs w:val="24"/>
          <w:shd w:val="clear" w:color="auto" w:fill="FFFFFF"/>
        </w:rPr>
        <w:t>Except</w:t>
      </w:r>
      <w:r w:rsidR="00D907E5">
        <w:rPr>
          <w:spacing w:val="4"/>
          <w:szCs w:val="24"/>
          <w:shd w:val="clear" w:color="auto" w:fill="FFFFFF"/>
        </w:rPr>
        <w:t>ed from the above are</w:t>
      </w:r>
      <w:r w:rsidR="00D907E5" w:rsidRPr="00492DEE">
        <w:rPr>
          <w:spacing w:val="4"/>
          <w:szCs w:val="24"/>
          <w:shd w:val="clear" w:color="auto" w:fill="FFFFFF"/>
        </w:rPr>
        <w:t xml:space="preserve"> </w:t>
      </w:r>
      <w:r w:rsidR="00D907E5" w:rsidRPr="00492DEE">
        <w:rPr>
          <w:color w:val="000000"/>
          <w:szCs w:val="24"/>
        </w:rPr>
        <w:t>involuntary transfers to secured lenders due to a default under the loan documents or a foreclosure</w:t>
      </w:r>
      <w:r w:rsidR="00D907E5">
        <w:rPr>
          <w:rFonts w:ascii="Calibri" w:hAnsi="Calibri" w:cs="Calibri"/>
          <w:color w:val="000000"/>
          <w:szCs w:val="24"/>
        </w:rPr>
        <w:t xml:space="preserve">, </w:t>
      </w:r>
      <w:r w:rsidR="00D907E5" w:rsidRPr="00D907E5">
        <w:rPr>
          <w:color w:val="000000"/>
          <w:szCs w:val="24"/>
        </w:rPr>
        <w:t xml:space="preserve">provided that </w:t>
      </w:r>
      <w:r w:rsidR="00D907E5">
        <w:rPr>
          <w:color w:val="000000"/>
          <w:szCs w:val="24"/>
        </w:rPr>
        <w:t xml:space="preserve">required </w:t>
      </w:r>
      <w:r w:rsidR="00D907E5" w:rsidRPr="00D907E5">
        <w:rPr>
          <w:color w:val="000000"/>
          <w:szCs w:val="24"/>
        </w:rPr>
        <w:t>affordability provisions survive said transfers.</w:t>
      </w:r>
    </w:p>
    <w:p w14:paraId="758B3311" w14:textId="77777777" w:rsidR="00D907E5" w:rsidRPr="00531918" w:rsidRDefault="00D907E5" w:rsidP="00D907E5">
      <w:pPr>
        <w:rPr>
          <w:szCs w:val="24"/>
          <w:u w:val="single"/>
        </w:rPr>
      </w:pPr>
    </w:p>
    <w:p w14:paraId="457B636C" w14:textId="7D9C1B03" w:rsidR="00146F34" w:rsidRPr="00060010" w:rsidRDefault="002C02DA" w:rsidP="00060010">
      <w:pPr>
        <w:pStyle w:val="ListParagraph"/>
        <w:numPr>
          <w:ilvl w:val="0"/>
          <w:numId w:val="12"/>
        </w:numPr>
        <w:jc w:val="both"/>
        <w:outlineLvl w:val="0"/>
        <w:rPr>
          <w:szCs w:val="24"/>
          <w:u w:val="single"/>
        </w:rPr>
      </w:pPr>
      <w:r w:rsidRPr="00060010">
        <w:rPr>
          <w:szCs w:val="24"/>
          <w:u w:val="single"/>
        </w:rPr>
        <w:t>Compliance and Enforcement</w:t>
      </w:r>
    </w:p>
    <w:p w14:paraId="29A200D3" w14:textId="77777777" w:rsidR="00B20AA6" w:rsidRPr="00531918" w:rsidRDefault="005B0AB0" w:rsidP="001D7031">
      <w:pPr>
        <w:jc w:val="both"/>
        <w:outlineLvl w:val="0"/>
        <w:rPr>
          <w:szCs w:val="24"/>
          <w:u w:val="single"/>
        </w:rPr>
      </w:pPr>
    </w:p>
    <w:p w14:paraId="106AFEA3" w14:textId="612E5E7A" w:rsidR="009A3886" w:rsidRPr="00060010" w:rsidRDefault="002C02DA" w:rsidP="00060010">
      <w:pPr>
        <w:pStyle w:val="ListParagraph"/>
        <w:numPr>
          <w:ilvl w:val="1"/>
          <w:numId w:val="14"/>
        </w:numPr>
        <w:rPr>
          <w:color w:val="000000"/>
          <w:szCs w:val="24"/>
        </w:rPr>
      </w:pPr>
      <w:r w:rsidRPr="00060010">
        <w:rPr>
          <w:szCs w:val="24"/>
          <w:u w:val="single"/>
        </w:rPr>
        <w:t>Third-Party Beneficiaries</w:t>
      </w:r>
      <w:r w:rsidRPr="00060010">
        <w:rPr>
          <w:szCs w:val="24"/>
        </w:rPr>
        <w:t xml:space="preserve">.  The benefits of this Agreement shall inure to any past, </w:t>
      </w:r>
      <w:proofErr w:type="gramStart"/>
      <w:r w:rsidRPr="00060010">
        <w:rPr>
          <w:szCs w:val="24"/>
        </w:rPr>
        <w:t>present</w:t>
      </w:r>
      <w:proofErr w:type="gramEnd"/>
      <w:r w:rsidRPr="00060010">
        <w:rPr>
          <w:szCs w:val="24"/>
        </w:rPr>
        <w:t xml:space="preserve"> or future tenants or applicants of the </w:t>
      </w:r>
      <w:r w:rsidR="00060010" w:rsidRPr="00060010">
        <w:rPr>
          <w:szCs w:val="24"/>
        </w:rPr>
        <w:t>property</w:t>
      </w:r>
      <w:r w:rsidRPr="00060010">
        <w:rPr>
          <w:szCs w:val="24"/>
        </w:rPr>
        <w:t>, who shall have the right to enforce same as third-party beneficiaries</w:t>
      </w:r>
      <w:r w:rsidR="009A3886" w:rsidRPr="00060010">
        <w:rPr>
          <w:color w:val="000000"/>
          <w:szCs w:val="24"/>
        </w:rPr>
        <w:t xml:space="preserve">. </w:t>
      </w:r>
      <w:r w:rsidR="00060010" w:rsidRPr="00060010">
        <w:rPr>
          <w:color w:val="000000"/>
          <w:szCs w:val="24"/>
        </w:rPr>
        <w:t>N</w:t>
      </w:r>
      <w:r w:rsidR="009A3886" w:rsidRPr="00060010">
        <w:rPr>
          <w:color w:val="000000"/>
          <w:szCs w:val="24"/>
        </w:rPr>
        <w:t xml:space="preserve">othing in this provision is intended to create a separate or new </w:t>
      </w:r>
      <w:r w:rsidR="00CD5457" w:rsidRPr="00060010">
        <w:rPr>
          <w:color w:val="000000"/>
          <w:szCs w:val="24"/>
        </w:rPr>
        <w:t xml:space="preserve">administrative </w:t>
      </w:r>
      <w:proofErr w:type="gramStart"/>
      <w:r w:rsidR="00CD5457" w:rsidRPr="00060010">
        <w:rPr>
          <w:color w:val="000000"/>
          <w:szCs w:val="24"/>
        </w:rPr>
        <w:t xml:space="preserve">process </w:t>
      </w:r>
      <w:r w:rsidR="009A3886" w:rsidRPr="00060010">
        <w:rPr>
          <w:color w:val="000000"/>
          <w:szCs w:val="24"/>
        </w:rPr>
        <w:t xml:space="preserve"> of</w:t>
      </w:r>
      <w:proofErr w:type="gramEnd"/>
      <w:r w:rsidR="009A3886" w:rsidRPr="00060010">
        <w:rPr>
          <w:color w:val="000000"/>
          <w:szCs w:val="24"/>
        </w:rPr>
        <w:t xml:space="preserve"> appeal or review for any grievance  governed by the lease of any tenant.</w:t>
      </w:r>
    </w:p>
    <w:p w14:paraId="73B76A22" w14:textId="09E05C7A" w:rsidR="009A3886" w:rsidRPr="00531918" w:rsidRDefault="009A3886" w:rsidP="00060010">
      <w:pPr>
        <w:ind w:firstLine="40"/>
        <w:rPr>
          <w:rFonts w:ascii="Calibri" w:hAnsi="Calibri" w:cs="Calibri"/>
          <w:color w:val="000000"/>
        </w:rPr>
      </w:pPr>
    </w:p>
    <w:p w14:paraId="747747CD" w14:textId="39385A17" w:rsidR="00060010" w:rsidRPr="00060010" w:rsidRDefault="002C02DA" w:rsidP="00060010">
      <w:pPr>
        <w:pStyle w:val="ListParagraph"/>
        <w:numPr>
          <w:ilvl w:val="0"/>
          <w:numId w:val="12"/>
        </w:numPr>
        <w:jc w:val="both"/>
        <w:outlineLvl w:val="0"/>
        <w:rPr>
          <w:szCs w:val="24"/>
        </w:rPr>
      </w:pPr>
      <w:r w:rsidRPr="00060010">
        <w:rPr>
          <w:szCs w:val="24"/>
          <w:u w:val="single"/>
        </w:rPr>
        <w:t>Covenants to Run with the Land</w:t>
      </w:r>
    </w:p>
    <w:p w14:paraId="2BDC52C7" w14:textId="77777777" w:rsidR="00060010" w:rsidRPr="00060010" w:rsidRDefault="00060010" w:rsidP="00060010">
      <w:pPr>
        <w:pStyle w:val="ListParagraph"/>
        <w:jc w:val="both"/>
        <w:outlineLvl w:val="0"/>
        <w:rPr>
          <w:szCs w:val="24"/>
        </w:rPr>
      </w:pPr>
    </w:p>
    <w:p w14:paraId="6D2E551D" w14:textId="251D69F9" w:rsidR="00146F34" w:rsidRPr="00060010" w:rsidRDefault="002C02DA" w:rsidP="00060010">
      <w:pPr>
        <w:pStyle w:val="ListParagraph"/>
        <w:jc w:val="both"/>
        <w:outlineLvl w:val="0"/>
        <w:rPr>
          <w:szCs w:val="24"/>
        </w:rPr>
      </w:pPr>
      <w:r w:rsidRPr="00060010">
        <w:rPr>
          <w:szCs w:val="24"/>
        </w:rPr>
        <w:t xml:space="preserve">All the agreements, covenants, rights and restrictions set forth in this Agreement are for </w:t>
      </w:r>
      <w:r w:rsidRPr="00060010">
        <w:rPr>
          <w:b/>
          <w:szCs w:val="24"/>
        </w:rPr>
        <w:t>Public And Charitable</w:t>
      </w:r>
      <w:r w:rsidRPr="00060010">
        <w:rPr>
          <w:szCs w:val="24"/>
        </w:rPr>
        <w:t xml:space="preserve"> purposes, shall be interpreted in accordance with General Laws, Chapter 184, Sections 31-33, shall run with the land constituting the Premises for the purpose of maintaining the Premises as Affordable Housing throughout the Term of this Agreement, and shall be binding upon the Owner, its successors and assigns, for the benefit, and enforceable by the Covenant Holder and its successors and assigns, and/or third-party beneficiaries.</w:t>
      </w:r>
    </w:p>
    <w:p w14:paraId="25843D7C" w14:textId="77777777" w:rsidR="00146F34" w:rsidRPr="00531918" w:rsidRDefault="005B0AB0" w:rsidP="001D7031">
      <w:pPr>
        <w:ind w:firstLine="720"/>
        <w:jc w:val="both"/>
        <w:rPr>
          <w:szCs w:val="24"/>
        </w:rPr>
      </w:pPr>
    </w:p>
    <w:p w14:paraId="5D3792F0" w14:textId="3821E450" w:rsidR="00146F34" w:rsidRPr="00531918" w:rsidRDefault="002C02DA" w:rsidP="001D7031">
      <w:pPr>
        <w:ind w:firstLine="720"/>
        <w:jc w:val="both"/>
        <w:rPr>
          <w:szCs w:val="24"/>
        </w:rPr>
      </w:pPr>
      <w:r w:rsidRPr="00531918">
        <w:rPr>
          <w:szCs w:val="24"/>
        </w:rPr>
        <w:t xml:space="preserve">The Owner shall </w:t>
      </w:r>
      <w:r w:rsidR="00913368" w:rsidRPr="00531918">
        <w:rPr>
          <w:szCs w:val="24"/>
        </w:rPr>
        <w:t xml:space="preserve">record this Agreement and shall </w:t>
      </w:r>
      <w:r w:rsidRPr="00531918">
        <w:rPr>
          <w:szCs w:val="24"/>
        </w:rPr>
        <w:t xml:space="preserve">include a reference to this Agreement in </w:t>
      </w:r>
      <w:proofErr w:type="gramStart"/>
      <w:r w:rsidRPr="00531918">
        <w:rPr>
          <w:szCs w:val="24"/>
        </w:rPr>
        <w:t>any and all</w:t>
      </w:r>
      <w:proofErr w:type="gramEnd"/>
      <w:r w:rsidRPr="00531918">
        <w:rPr>
          <w:szCs w:val="24"/>
        </w:rPr>
        <w:t xml:space="preserve"> deeds or other instruments conveying a non-leasehold interest in the Premises or any part thereof (although failure to do so shall not affect this Covenant).</w:t>
      </w:r>
    </w:p>
    <w:p w14:paraId="380CF9AC" w14:textId="77777777" w:rsidR="00146F34" w:rsidRPr="00531918" w:rsidRDefault="005B0AB0" w:rsidP="001D7031">
      <w:pPr>
        <w:ind w:firstLine="720"/>
        <w:jc w:val="both"/>
        <w:rPr>
          <w:szCs w:val="24"/>
        </w:rPr>
      </w:pPr>
    </w:p>
    <w:p w14:paraId="071D774F" w14:textId="77777777" w:rsidR="001544D2" w:rsidRPr="00F12F3C" w:rsidRDefault="005B0AB0" w:rsidP="001D7031">
      <w:pPr>
        <w:rPr>
          <w:szCs w:val="24"/>
        </w:rPr>
      </w:pPr>
    </w:p>
    <w:sectPr w:rsidR="001544D2" w:rsidRPr="00F12F3C" w:rsidSect="00492DEE">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BA83" w14:textId="77777777" w:rsidR="005B0AB0" w:rsidRDefault="005B0AB0">
      <w:r>
        <w:separator/>
      </w:r>
    </w:p>
  </w:endnote>
  <w:endnote w:type="continuationSeparator" w:id="0">
    <w:p w14:paraId="65367361" w14:textId="77777777" w:rsidR="005B0AB0" w:rsidRDefault="005B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579C" w14:textId="0EABFF19" w:rsidR="00492DEE" w:rsidRDefault="00492DEE" w:rsidP="001D7031">
    <w:pPr>
      <w:tabs>
        <w:tab w:val="right" w:pos="9270"/>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6620" w14:textId="77777777" w:rsidR="005B0AB0" w:rsidRDefault="005B0AB0">
      <w:r>
        <w:separator/>
      </w:r>
    </w:p>
  </w:footnote>
  <w:footnote w:type="continuationSeparator" w:id="0">
    <w:p w14:paraId="1190BD5E" w14:textId="77777777" w:rsidR="005B0AB0" w:rsidRDefault="005B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7D"/>
    <w:multiLevelType w:val="hybridMultilevel"/>
    <w:tmpl w:val="3A2E483E"/>
    <w:lvl w:ilvl="0" w:tplc="9D180DCA">
      <w:start w:val="1"/>
      <w:numFmt w:val="decimal"/>
      <w:lvlText w:val="%1."/>
      <w:lvlJc w:val="left"/>
      <w:pPr>
        <w:ind w:left="1800" w:hanging="360"/>
      </w:pPr>
      <w:rPr>
        <w:rFonts w:hint="default"/>
      </w:rPr>
    </w:lvl>
    <w:lvl w:ilvl="1" w:tplc="52ACF726" w:tentative="1">
      <w:start w:val="1"/>
      <w:numFmt w:val="lowerLetter"/>
      <w:lvlText w:val="%2."/>
      <w:lvlJc w:val="left"/>
      <w:pPr>
        <w:ind w:left="2520" w:hanging="360"/>
      </w:pPr>
    </w:lvl>
    <w:lvl w:ilvl="2" w:tplc="04AED09A" w:tentative="1">
      <w:start w:val="1"/>
      <w:numFmt w:val="lowerRoman"/>
      <w:lvlText w:val="%3."/>
      <w:lvlJc w:val="right"/>
      <w:pPr>
        <w:ind w:left="3240" w:hanging="180"/>
      </w:pPr>
    </w:lvl>
    <w:lvl w:ilvl="3" w:tplc="2E444214" w:tentative="1">
      <w:start w:val="1"/>
      <w:numFmt w:val="decimal"/>
      <w:lvlText w:val="%4."/>
      <w:lvlJc w:val="left"/>
      <w:pPr>
        <w:ind w:left="3960" w:hanging="360"/>
      </w:pPr>
    </w:lvl>
    <w:lvl w:ilvl="4" w:tplc="5678A060" w:tentative="1">
      <w:start w:val="1"/>
      <w:numFmt w:val="lowerLetter"/>
      <w:lvlText w:val="%5."/>
      <w:lvlJc w:val="left"/>
      <w:pPr>
        <w:ind w:left="4680" w:hanging="360"/>
      </w:pPr>
    </w:lvl>
    <w:lvl w:ilvl="5" w:tplc="EBB29B86" w:tentative="1">
      <w:start w:val="1"/>
      <w:numFmt w:val="lowerRoman"/>
      <w:lvlText w:val="%6."/>
      <w:lvlJc w:val="right"/>
      <w:pPr>
        <w:ind w:left="5400" w:hanging="180"/>
      </w:pPr>
    </w:lvl>
    <w:lvl w:ilvl="6" w:tplc="E1481700" w:tentative="1">
      <w:start w:val="1"/>
      <w:numFmt w:val="decimal"/>
      <w:lvlText w:val="%7."/>
      <w:lvlJc w:val="left"/>
      <w:pPr>
        <w:ind w:left="6120" w:hanging="360"/>
      </w:pPr>
    </w:lvl>
    <w:lvl w:ilvl="7" w:tplc="A6F473C2" w:tentative="1">
      <w:start w:val="1"/>
      <w:numFmt w:val="lowerLetter"/>
      <w:lvlText w:val="%8."/>
      <w:lvlJc w:val="left"/>
      <w:pPr>
        <w:ind w:left="6840" w:hanging="360"/>
      </w:pPr>
    </w:lvl>
    <w:lvl w:ilvl="8" w:tplc="7868A324" w:tentative="1">
      <w:start w:val="1"/>
      <w:numFmt w:val="lowerRoman"/>
      <w:lvlText w:val="%9."/>
      <w:lvlJc w:val="right"/>
      <w:pPr>
        <w:ind w:left="7560" w:hanging="180"/>
      </w:pPr>
    </w:lvl>
  </w:abstractNum>
  <w:abstractNum w:abstractNumId="1" w15:restartNumberingAfterBreak="0">
    <w:nsid w:val="078524DD"/>
    <w:multiLevelType w:val="hybridMultilevel"/>
    <w:tmpl w:val="95D47DCA"/>
    <w:lvl w:ilvl="0" w:tplc="0409000F">
      <w:start w:val="1"/>
      <w:numFmt w:val="decimal"/>
      <w:lvlText w:val="%1."/>
      <w:lvlJc w:val="left"/>
      <w:pPr>
        <w:ind w:left="720" w:hanging="360"/>
      </w:pPr>
      <w:rPr>
        <w:rFonts w:hint="default"/>
      </w:rPr>
    </w:lvl>
    <w:lvl w:ilvl="1" w:tplc="28583FF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9DD"/>
    <w:multiLevelType w:val="hybridMultilevel"/>
    <w:tmpl w:val="F4D40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41C0C"/>
    <w:multiLevelType w:val="hybridMultilevel"/>
    <w:tmpl w:val="492ED12E"/>
    <w:lvl w:ilvl="0" w:tplc="7ECE07F2">
      <w:start w:val="1"/>
      <w:numFmt w:val="upperLetter"/>
      <w:lvlText w:val="%1."/>
      <w:lvlJc w:val="left"/>
      <w:pPr>
        <w:ind w:left="1080" w:hanging="360"/>
      </w:pPr>
      <w:rPr>
        <w:rFonts w:hint="default"/>
      </w:rPr>
    </w:lvl>
    <w:lvl w:ilvl="1" w:tplc="0CDA5856" w:tentative="1">
      <w:start w:val="1"/>
      <w:numFmt w:val="lowerLetter"/>
      <w:lvlText w:val="%2."/>
      <w:lvlJc w:val="left"/>
      <w:pPr>
        <w:ind w:left="1800" w:hanging="360"/>
      </w:pPr>
    </w:lvl>
    <w:lvl w:ilvl="2" w:tplc="7778A7D0" w:tentative="1">
      <w:start w:val="1"/>
      <w:numFmt w:val="lowerRoman"/>
      <w:lvlText w:val="%3."/>
      <w:lvlJc w:val="right"/>
      <w:pPr>
        <w:ind w:left="2520" w:hanging="180"/>
      </w:pPr>
    </w:lvl>
    <w:lvl w:ilvl="3" w:tplc="721866D0" w:tentative="1">
      <w:start w:val="1"/>
      <w:numFmt w:val="decimal"/>
      <w:lvlText w:val="%4."/>
      <w:lvlJc w:val="left"/>
      <w:pPr>
        <w:ind w:left="3240" w:hanging="360"/>
      </w:pPr>
    </w:lvl>
    <w:lvl w:ilvl="4" w:tplc="BAEA54AA" w:tentative="1">
      <w:start w:val="1"/>
      <w:numFmt w:val="lowerLetter"/>
      <w:lvlText w:val="%5."/>
      <w:lvlJc w:val="left"/>
      <w:pPr>
        <w:ind w:left="3960" w:hanging="360"/>
      </w:pPr>
    </w:lvl>
    <w:lvl w:ilvl="5" w:tplc="70F60FFC" w:tentative="1">
      <w:start w:val="1"/>
      <w:numFmt w:val="lowerRoman"/>
      <w:lvlText w:val="%6."/>
      <w:lvlJc w:val="right"/>
      <w:pPr>
        <w:ind w:left="4680" w:hanging="180"/>
      </w:pPr>
    </w:lvl>
    <w:lvl w:ilvl="6" w:tplc="89F8595E" w:tentative="1">
      <w:start w:val="1"/>
      <w:numFmt w:val="decimal"/>
      <w:lvlText w:val="%7."/>
      <w:lvlJc w:val="left"/>
      <w:pPr>
        <w:ind w:left="5400" w:hanging="360"/>
      </w:pPr>
    </w:lvl>
    <w:lvl w:ilvl="7" w:tplc="F02A25A6" w:tentative="1">
      <w:start w:val="1"/>
      <w:numFmt w:val="lowerLetter"/>
      <w:lvlText w:val="%8."/>
      <w:lvlJc w:val="left"/>
      <w:pPr>
        <w:ind w:left="6120" w:hanging="360"/>
      </w:pPr>
    </w:lvl>
    <w:lvl w:ilvl="8" w:tplc="BE7E9576" w:tentative="1">
      <w:start w:val="1"/>
      <w:numFmt w:val="lowerRoman"/>
      <w:lvlText w:val="%9."/>
      <w:lvlJc w:val="right"/>
      <w:pPr>
        <w:ind w:left="6840" w:hanging="180"/>
      </w:pPr>
    </w:lvl>
  </w:abstractNum>
  <w:abstractNum w:abstractNumId="4" w15:restartNumberingAfterBreak="0">
    <w:nsid w:val="1B1A65E1"/>
    <w:multiLevelType w:val="singleLevel"/>
    <w:tmpl w:val="B24C9E2E"/>
    <w:lvl w:ilvl="0">
      <w:start w:val="2"/>
      <w:numFmt w:val="lowerLetter"/>
      <w:lvlText w:val="%1."/>
      <w:lvlJc w:val="left"/>
      <w:pPr>
        <w:tabs>
          <w:tab w:val="num" w:pos="2160"/>
        </w:tabs>
        <w:ind w:left="2160" w:hanging="360"/>
      </w:pPr>
      <w:rPr>
        <w:rFonts w:hint="default"/>
      </w:rPr>
    </w:lvl>
  </w:abstractNum>
  <w:abstractNum w:abstractNumId="5" w15:restartNumberingAfterBreak="0">
    <w:nsid w:val="287E2A05"/>
    <w:multiLevelType w:val="hybridMultilevel"/>
    <w:tmpl w:val="0158F51C"/>
    <w:lvl w:ilvl="0" w:tplc="ABD476F4">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6551A"/>
    <w:multiLevelType w:val="hybridMultilevel"/>
    <w:tmpl w:val="14BE17B8"/>
    <w:lvl w:ilvl="0" w:tplc="E7461132">
      <w:start w:val="2"/>
      <w:numFmt w:val="lowerLetter"/>
      <w:lvlText w:val="%1."/>
      <w:lvlJc w:val="left"/>
      <w:pPr>
        <w:tabs>
          <w:tab w:val="num" w:pos="3296"/>
        </w:tabs>
        <w:ind w:left="3296" w:hanging="360"/>
      </w:pPr>
      <w:rPr>
        <w:rFonts w:hint="default"/>
      </w:rPr>
    </w:lvl>
    <w:lvl w:ilvl="1" w:tplc="F3521EFE" w:tentative="1">
      <w:start w:val="1"/>
      <w:numFmt w:val="lowerLetter"/>
      <w:lvlText w:val="%2."/>
      <w:lvlJc w:val="left"/>
      <w:pPr>
        <w:ind w:left="2936" w:hanging="360"/>
      </w:pPr>
    </w:lvl>
    <w:lvl w:ilvl="2" w:tplc="47AACD5A">
      <w:start w:val="1"/>
      <w:numFmt w:val="lowerRoman"/>
      <w:lvlText w:val="%3."/>
      <w:lvlJc w:val="right"/>
      <w:pPr>
        <w:ind w:left="3656" w:hanging="180"/>
      </w:pPr>
    </w:lvl>
    <w:lvl w:ilvl="3" w:tplc="6D6C494A" w:tentative="1">
      <w:start w:val="1"/>
      <w:numFmt w:val="decimal"/>
      <w:lvlText w:val="%4."/>
      <w:lvlJc w:val="left"/>
      <w:pPr>
        <w:ind w:left="4376" w:hanging="360"/>
      </w:pPr>
    </w:lvl>
    <w:lvl w:ilvl="4" w:tplc="EA3A488E" w:tentative="1">
      <w:start w:val="1"/>
      <w:numFmt w:val="lowerLetter"/>
      <w:lvlText w:val="%5."/>
      <w:lvlJc w:val="left"/>
      <w:pPr>
        <w:ind w:left="5096" w:hanging="360"/>
      </w:pPr>
    </w:lvl>
    <w:lvl w:ilvl="5" w:tplc="020621CE" w:tentative="1">
      <w:start w:val="1"/>
      <w:numFmt w:val="lowerRoman"/>
      <w:lvlText w:val="%6."/>
      <w:lvlJc w:val="right"/>
      <w:pPr>
        <w:ind w:left="5816" w:hanging="180"/>
      </w:pPr>
    </w:lvl>
    <w:lvl w:ilvl="6" w:tplc="2EBAE9DA" w:tentative="1">
      <w:start w:val="1"/>
      <w:numFmt w:val="decimal"/>
      <w:lvlText w:val="%7."/>
      <w:lvlJc w:val="left"/>
      <w:pPr>
        <w:ind w:left="6536" w:hanging="360"/>
      </w:pPr>
    </w:lvl>
    <w:lvl w:ilvl="7" w:tplc="F476ECDC" w:tentative="1">
      <w:start w:val="1"/>
      <w:numFmt w:val="lowerLetter"/>
      <w:lvlText w:val="%8."/>
      <w:lvlJc w:val="left"/>
      <w:pPr>
        <w:ind w:left="7256" w:hanging="360"/>
      </w:pPr>
    </w:lvl>
    <w:lvl w:ilvl="8" w:tplc="6A0856FA" w:tentative="1">
      <w:start w:val="1"/>
      <w:numFmt w:val="lowerRoman"/>
      <w:lvlText w:val="%9."/>
      <w:lvlJc w:val="right"/>
      <w:pPr>
        <w:ind w:left="7976" w:hanging="180"/>
      </w:pPr>
    </w:lvl>
  </w:abstractNum>
  <w:abstractNum w:abstractNumId="7" w15:restartNumberingAfterBreak="0">
    <w:nsid w:val="45C37E53"/>
    <w:multiLevelType w:val="singleLevel"/>
    <w:tmpl w:val="04090019"/>
    <w:lvl w:ilvl="0">
      <w:start w:val="1"/>
      <w:numFmt w:val="lowerLetter"/>
      <w:lvlText w:val="%1."/>
      <w:lvlJc w:val="left"/>
      <w:pPr>
        <w:ind w:left="1080" w:hanging="360"/>
      </w:pPr>
      <w:rPr>
        <w:rFonts w:hint="default"/>
      </w:rPr>
    </w:lvl>
  </w:abstractNum>
  <w:abstractNum w:abstractNumId="8" w15:restartNumberingAfterBreak="0">
    <w:nsid w:val="548424F2"/>
    <w:multiLevelType w:val="hybridMultilevel"/>
    <w:tmpl w:val="A5D67112"/>
    <w:lvl w:ilvl="0" w:tplc="CCA8CAC6">
      <w:start w:val="1"/>
      <w:numFmt w:val="lowerLetter"/>
      <w:lvlText w:val="%1."/>
      <w:lvlJc w:val="left"/>
      <w:pPr>
        <w:ind w:left="1800" w:hanging="360"/>
      </w:pPr>
      <w:rPr>
        <w:rFonts w:hint="default"/>
      </w:rPr>
    </w:lvl>
    <w:lvl w:ilvl="1" w:tplc="ACFCF562" w:tentative="1">
      <w:start w:val="1"/>
      <w:numFmt w:val="lowerLetter"/>
      <w:lvlText w:val="%2."/>
      <w:lvlJc w:val="left"/>
      <w:pPr>
        <w:ind w:left="2520" w:hanging="360"/>
      </w:pPr>
    </w:lvl>
    <w:lvl w:ilvl="2" w:tplc="741CBEC8" w:tentative="1">
      <w:start w:val="1"/>
      <w:numFmt w:val="lowerRoman"/>
      <w:lvlText w:val="%3."/>
      <w:lvlJc w:val="right"/>
      <w:pPr>
        <w:ind w:left="3240" w:hanging="180"/>
      </w:pPr>
    </w:lvl>
    <w:lvl w:ilvl="3" w:tplc="74ECE69A" w:tentative="1">
      <w:start w:val="1"/>
      <w:numFmt w:val="decimal"/>
      <w:lvlText w:val="%4."/>
      <w:lvlJc w:val="left"/>
      <w:pPr>
        <w:ind w:left="3960" w:hanging="360"/>
      </w:pPr>
    </w:lvl>
    <w:lvl w:ilvl="4" w:tplc="51BC0E1C" w:tentative="1">
      <w:start w:val="1"/>
      <w:numFmt w:val="lowerLetter"/>
      <w:lvlText w:val="%5."/>
      <w:lvlJc w:val="left"/>
      <w:pPr>
        <w:ind w:left="4680" w:hanging="360"/>
      </w:pPr>
    </w:lvl>
    <w:lvl w:ilvl="5" w:tplc="A2A4DBB4" w:tentative="1">
      <w:start w:val="1"/>
      <w:numFmt w:val="lowerRoman"/>
      <w:lvlText w:val="%6."/>
      <w:lvlJc w:val="right"/>
      <w:pPr>
        <w:ind w:left="5400" w:hanging="180"/>
      </w:pPr>
    </w:lvl>
    <w:lvl w:ilvl="6" w:tplc="08DC1BF8" w:tentative="1">
      <w:start w:val="1"/>
      <w:numFmt w:val="decimal"/>
      <w:lvlText w:val="%7."/>
      <w:lvlJc w:val="left"/>
      <w:pPr>
        <w:ind w:left="6120" w:hanging="360"/>
      </w:pPr>
    </w:lvl>
    <w:lvl w:ilvl="7" w:tplc="5D948040" w:tentative="1">
      <w:start w:val="1"/>
      <w:numFmt w:val="lowerLetter"/>
      <w:lvlText w:val="%8."/>
      <w:lvlJc w:val="left"/>
      <w:pPr>
        <w:ind w:left="6840" w:hanging="360"/>
      </w:pPr>
    </w:lvl>
    <w:lvl w:ilvl="8" w:tplc="A3E04118" w:tentative="1">
      <w:start w:val="1"/>
      <w:numFmt w:val="lowerRoman"/>
      <w:lvlText w:val="%9."/>
      <w:lvlJc w:val="right"/>
      <w:pPr>
        <w:ind w:left="7560" w:hanging="180"/>
      </w:pPr>
    </w:lvl>
  </w:abstractNum>
  <w:abstractNum w:abstractNumId="9" w15:restartNumberingAfterBreak="0">
    <w:nsid w:val="60167C1F"/>
    <w:multiLevelType w:val="hybridMultilevel"/>
    <w:tmpl w:val="25DAA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337"/>
    <w:multiLevelType w:val="hybridMultilevel"/>
    <w:tmpl w:val="CACED4B8"/>
    <w:lvl w:ilvl="0" w:tplc="A1607B04">
      <w:start w:val="1"/>
      <w:numFmt w:val="decimal"/>
      <w:lvlText w:val="%1."/>
      <w:lvlJc w:val="left"/>
      <w:pPr>
        <w:ind w:left="1440" w:hanging="720"/>
      </w:pPr>
      <w:rPr>
        <w:rFonts w:hint="default"/>
      </w:rPr>
    </w:lvl>
    <w:lvl w:ilvl="1" w:tplc="ECD0AA70" w:tentative="1">
      <w:start w:val="1"/>
      <w:numFmt w:val="lowerLetter"/>
      <w:lvlText w:val="%2."/>
      <w:lvlJc w:val="left"/>
      <w:pPr>
        <w:ind w:left="1800" w:hanging="360"/>
      </w:pPr>
    </w:lvl>
    <w:lvl w:ilvl="2" w:tplc="151C4352" w:tentative="1">
      <w:start w:val="1"/>
      <w:numFmt w:val="lowerRoman"/>
      <w:lvlText w:val="%3."/>
      <w:lvlJc w:val="right"/>
      <w:pPr>
        <w:ind w:left="2520" w:hanging="180"/>
      </w:pPr>
    </w:lvl>
    <w:lvl w:ilvl="3" w:tplc="1B225B66" w:tentative="1">
      <w:start w:val="1"/>
      <w:numFmt w:val="decimal"/>
      <w:lvlText w:val="%4."/>
      <w:lvlJc w:val="left"/>
      <w:pPr>
        <w:ind w:left="3240" w:hanging="360"/>
      </w:pPr>
    </w:lvl>
    <w:lvl w:ilvl="4" w:tplc="C008AB58" w:tentative="1">
      <w:start w:val="1"/>
      <w:numFmt w:val="lowerLetter"/>
      <w:lvlText w:val="%5."/>
      <w:lvlJc w:val="left"/>
      <w:pPr>
        <w:ind w:left="3960" w:hanging="360"/>
      </w:pPr>
    </w:lvl>
    <w:lvl w:ilvl="5" w:tplc="B8FC2170" w:tentative="1">
      <w:start w:val="1"/>
      <w:numFmt w:val="lowerRoman"/>
      <w:lvlText w:val="%6."/>
      <w:lvlJc w:val="right"/>
      <w:pPr>
        <w:ind w:left="4680" w:hanging="180"/>
      </w:pPr>
    </w:lvl>
    <w:lvl w:ilvl="6" w:tplc="4E90830A" w:tentative="1">
      <w:start w:val="1"/>
      <w:numFmt w:val="decimal"/>
      <w:lvlText w:val="%7."/>
      <w:lvlJc w:val="left"/>
      <w:pPr>
        <w:ind w:left="5400" w:hanging="360"/>
      </w:pPr>
    </w:lvl>
    <w:lvl w:ilvl="7" w:tplc="84426FCE" w:tentative="1">
      <w:start w:val="1"/>
      <w:numFmt w:val="lowerLetter"/>
      <w:lvlText w:val="%8."/>
      <w:lvlJc w:val="left"/>
      <w:pPr>
        <w:ind w:left="6120" w:hanging="360"/>
      </w:pPr>
    </w:lvl>
    <w:lvl w:ilvl="8" w:tplc="A2AC4524" w:tentative="1">
      <w:start w:val="1"/>
      <w:numFmt w:val="lowerRoman"/>
      <w:lvlText w:val="%9."/>
      <w:lvlJc w:val="right"/>
      <w:pPr>
        <w:ind w:left="6840" w:hanging="180"/>
      </w:pPr>
    </w:lvl>
  </w:abstractNum>
  <w:abstractNum w:abstractNumId="11" w15:restartNumberingAfterBreak="0">
    <w:nsid w:val="6A271CCE"/>
    <w:multiLevelType w:val="hybridMultilevel"/>
    <w:tmpl w:val="A99896A2"/>
    <w:lvl w:ilvl="0" w:tplc="2FE0F0B2">
      <w:start w:val="1"/>
      <w:numFmt w:val="decimal"/>
      <w:lvlText w:val="%1."/>
      <w:lvlJc w:val="left"/>
      <w:pPr>
        <w:ind w:left="1080" w:hanging="360"/>
      </w:pPr>
      <w:rPr>
        <w:rFonts w:hint="default"/>
        <w:color w:val="000000" w:themeColor="text1"/>
        <w:u w:val="none"/>
      </w:rPr>
    </w:lvl>
    <w:lvl w:ilvl="1" w:tplc="A5F8A356" w:tentative="1">
      <w:start w:val="1"/>
      <w:numFmt w:val="lowerLetter"/>
      <w:lvlText w:val="%2."/>
      <w:lvlJc w:val="left"/>
      <w:pPr>
        <w:ind w:left="1800" w:hanging="360"/>
      </w:pPr>
    </w:lvl>
    <w:lvl w:ilvl="2" w:tplc="85081EB8" w:tentative="1">
      <w:start w:val="1"/>
      <w:numFmt w:val="lowerRoman"/>
      <w:lvlText w:val="%3."/>
      <w:lvlJc w:val="right"/>
      <w:pPr>
        <w:ind w:left="2520" w:hanging="180"/>
      </w:pPr>
    </w:lvl>
    <w:lvl w:ilvl="3" w:tplc="F0E87CBA" w:tentative="1">
      <w:start w:val="1"/>
      <w:numFmt w:val="decimal"/>
      <w:lvlText w:val="%4."/>
      <w:lvlJc w:val="left"/>
      <w:pPr>
        <w:ind w:left="3240" w:hanging="360"/>
      </w:pPr>
    </w:lvl>
    <w:lvl w:ilvl="4" w:tplc="4C66743E" w:tentative="1">
      <w:start w:val="1"/>
      <w:numFmt w:val="lowerLetter"/>
      <w:lvlText w:val="%5."/>
      <w:lvlJc w:val="left"/>
      <w:pPr>
        <w:ind w:left="3960" w:hanging="360"/>
      </w:pPr>
    </w:lvl>
    <w:lvl w:ilvl="5" w:tplc="FC1A2D72" w:tentative="1">
      <w:start w:val="1"/>
      <w:numFmt w:val="lowerRoman"/>
      <w:lvlText w:val="%6."/>
      <w:lvlJc w:val="right"/>
      <w:pPr>
        <w:ind w:left="4680" w:hanging="180"/>
      </w:pPr>
    </w:lvl>
    <w:lvl w:ilvl="6" w:tplc="C1C08BA6" w:tentative="1">
      <w:start w:val="1"/>
      <w:numFmt w:val="decimal"/>
      <w:lvlText w:val="%7."/>
      <w:lvlJc w:val="left"/>
      <w:pPr>
        <w:ind w:left="5400" w:hanging="360"/>
      </w:pPr>
    </w:lvl>
    <w:lvl w:ilvl="7" w:tplc="D71028E2" w:tentative="1">
      <w:start w:val="1"/>
      <w:numFmt w:val="lowerLetter"/>
      <w:lvlText w:val="%8."/>
      <w:lvlJc w:val="left"/>
      <w:pPr>
        <w:ind w:left="6120" w:hanging="360"/>
      </w:pPr>
    </w:lvl>
    <w:lvl w:ilvl="8" w:tplc="EB8C2070" w:tentative="1">
      <w:start w:val="1"/>
      <w:numFmt w:val="lowerRoman"/>
      <w:lvlText w:val="%9."/>
      <w:lvlJc w:val="right"/>
      <w:pPr>
        <w:ind w:left="6840" w:hanging="180"/>
      </w:pPr>
    </w:lvl>
  </w:abstractNum>
  <w:abstractNum w:abstractNumId="12" w15:restartNumberingAfterBreak="0">
    <w:nsid w:val="76F7220F"/>
    <w:multiLevelType w:val="singleLevel"/>
    <w:tmpl w:val="6FEC2528"/>
    <w:lvl w:ilvl="0">
      <w:start w:val="1"/>
      <w:numFmt w:val="lowerLetter"/>
      <w:lvlText w:val="%1."/>
      <w:lvlJc w:val="left"/>
      <w:pPr>
        <w:tabs>
          <w:tab w:val="num" w:pos="1800"/>
        </w:tabs>
        <w:ind w:left="1800" w:hanging="360"/>
      </w:pPr>
      <w:rPr>
        <w:rFonts w:hint="default"/>
      </w:rPr>
    </w:lvl>
  </w:abstractNum>
  <w:abstractNum w:abstractNumId="13" w15:restartNumberingAfterBreak="0">
    <w:nsid w:val="7A501448"/>
    <w:multiLevelType w:val="hybridMultilevel"/>
    <w:tmpl w:val="51F235D4"/>
    <w:lvl w:ilvl="0" w:tplc="E7C63B00">
      <w:start w:val="1"/>
      <w:numFmt w:val="decimal"/>
      <w:lvlText w:val="%1."/>
      <w:lvlJc w:val="left"/>
      <w:pPr>
        <w:ind w:left="1080" w:hanging="360"/>
      </w:pPr>
      <w:rPr>
        <w:rFonts w:hint="default"/>
      </w:rPr>
    </w:lvl>
    <w:lvl w:ilvl="1" w:tplc="E5DCD5A4">
      <w:start w:val="1"/>
      <w:numFmt w:val="lowerLetter"/>
      <w:lvlText w:val="%2."/>
      <w:lvlJc w:val="left"/>
      <w:pPr>
        <w:ind w:left="1800" w:hanging="360"/>
      </w:pPr>
    </w:lvl>
    <w:lvl w:ilvl="2" w:tplc="8460FAF6">
      <w:start w:val="1"/>
      <w:numFmt w:val="lowerRoman"/>
      <w:lvlText w:val="%3."/>
      <w:lvlJc w:val="right"/>
      <w:pPr>
        <w:ind w:left="2520" w:hanging="180"/>
      </w:pPr>
    </w:lvl>
    <w:lvl w:ilvl="3" w:tplc="57860AFE" w:tentative="1">
      <w:start w:val="1"/>
      <w:numFmt w:val="decimal"/>
      <w:lvlText w:val="%4."/>
      <w:lvlJc w:val="left"/>
      <w:pPr>
        <w:ind w:left="3240" w:hanging="360"/>
      </w:pPr>
    </w:lvl>
    <w:lvl w:ilvl="4" w:tplc="16144056" w:tentative="1">
      <w:start w:val="1"/>
      <w:numFmt w:val="lowerLetter"/>
      <w:lvlText w:val="%5."/>
      <w:lvlJc w:val="left"/>
      <w:pPr>
        <w:ind w:left="3960" w:hanging="360"/>
      </w:pPr>
    </w:lvl>
    <w:lvl w:ilvl="5" w:tplc="75FE192A" w:tentative="1">
      <w:start w:val="1"/>
      <w:numFmt w:val="lowerRoman"/>
      <w:lvlText w:val="%6."/>
      <w:lvlJc w:val="right"/>
      <w:pPr>
        <w:ind w:left="4680" w:hanging="180"/>
      </w:pPr>
    </w:lvl>
    <w:lvl w:ilvl="6" w:tplc="B6D0EDF6" w:tentative="1">
      <w:start w:val="1"/>
      <w:numFmt w:val="decimal"/>
      <w:lvlText w:val="%7."/>
      <w:lvlJc w:val="left"/>
      <w:pPr>
        <w:ind w:left="5400" w:hanging="360"/>
      </w:pPr>
    </w:lvl>
    <w:lvl w:ilvl="7" w:tplc="770A43DA" w:tentative="1">
      <w:start w:val="1"/>
      <w:numFmt w:val="lowerLetter"/>
      <w:lvlText w:val="%8."/>
      <w:lvlJc w:val="left"/>
      <w:pPr>
        <w:ind w:left="6120" w:hanging="360"/>
      </w:pPr>
    </w:lvl>
    <w:lvl w:ilvl="8" w:tplc="5E1A6018" w:tentative="1">
      <w:start w:val="1"/>
      <w:numFmt w:val="lowerRoman"/>
      <w:lvlText w:val="%9."/>
      <w:lvlJc w:val="right"/>
      <w:pPr>
        <w:ind w:left="6840" w:hanging="180"/>
      </w:pPr>
    </w:lvl>
  </w:abstractNum>
  <w:num w:numId="1">
    <w:abstractNumId w:val="4"/>
  </w:num>
  <w:num w:numId="2">
    <w:abstractNumId w:val="12"/>
  </w:num>
  <w:num w:numId="3">
    <w:abstractNumId w:val="7"/>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5"/>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00"/>
    <w:rsid w:val="00060010"/>
    <w:rsid w:val="00083C6A"/>
    <w:rsid w:val="00180D39"/>
    <w:rsid w:val="00187B11"/>
    <w:rsid w:val="001906E7"/>
    <w:rsid w:val="00206BBB"/>
    <w:rsid w:val="002C02DA"/>
    <w:rsid w:val="002D6B88"/>
    <w:rsid w:val="003262E7"/>
    <w:rsid w:val="00374AE2"/>
    <w:rsid w:val="00453B38"/>
    <w:rsid w:val="00492DEE"/>
    <w:rsid w:val="004B26DB"/>
    <w:rsid w:val="00523E44"/>
    <w:rsid w:val="00531918"/>
    <w:rsid w:val="00533A0C"/>
    <w:rsid w:val="00544088"/>
    <w:rsid w:val="00554450"/>
    <w:rsid w:val="00595DBD"/>
    <w:rsid w:val="005B0AB0"/>
    <w:rsid w:val="00633B20"/>
    <w:rsid w:val="006413CC"/>
    <w:rsid w:val="006F1B6B"/>
    <w:rsid w:val="006F5564"/>
    <w:rsid w:val="00763BC2"/>
    <w:rsid w:val="007E6A65"/>
    <w:rsid w:val="007F2400"/>
    <w:rsid w:val="00824E9C"/>
    <w:rsid w:val="00864C35"/>
    <w:rsid w:val="008B0A07"/>
    <w:rsid w:val="008F4DB0"/>
    <w:rsid w:val="00913368"/>
    <w:rsid w:val="00972C5A"/>
    <w:rsid w:val="009733D9"/>
    <w:rsid w:val="00980BEE"/>
    <w:rsid w:val="009A3886"/>
    <w:rsid w:val="009B5C76"/>
    <w:rsid w:val="00A348F3"/>
    <w:rsid w:val="00A655B1"/>
    <w:rsid w:val="00AF6657"/>
    <w:rsid w:val="00B230DE"/>
    <w:rsid w:val="00B2578C"/>
    <w:rsid w:val="00B27A32"/>
    <w:rsid w:val="00BC5932"/>
    <w:rsid w:val="00BC777E"/>
    <w:rsid w:val="00C7022C"/>
    <w:rsid w:val="00C74536"/>
    <w:rsid w:val="00C91216"/>
    <w:rsid w:val="00CD5457"/>
    <w:rsid w:val="00D67ACD"/>
    <w:rsid w:val="00D907E5"/>
    <w:rsid w:val="00DB0307"/>
    <w:rsid w:val="00E07E42"/>
    <w:rsid w:val="00E111D2"/>
    <w:rsid w:val="00ED74F3"/>
    <w:rsid w:val="00F12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DFD6C"/>
  <w15:docId w15:val="{E0A4D210-C409-4190-BB57-DBABC70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1440" w:hanging="1440"/>
    </w:pPr>
  </w:style>
  <w:style w:type="paragraph" w:styleId="BodyTextIndent2">
    <w:name w:val="Body Text Indent 2"/>
    <w:basedOn w:val="Normal"/>
    <w:semiHidden/>
    <w:pPr>
      <w:ind w:firstLine="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16">
    <w:name w:val="p16"/>
    <w:basedOn w:val="Normal"/>
    <w:rsid w:val="00382EF4"/>
    <w:pPr>
      <w:widowControl w:val="0"/>
      <w:tabs>
        <w:tab w:val="left" w:pos="204"/>
      </w:tabs>
      <w:autoSpaceDE w:val="0"/>
      <w:autoSpaceDN w:val="0"/>
      <w:adjustRightInd w:val="0"/>
      <w:jc w:val="both"/>
    </w:pPr>
    <w:rPr>
      <w:szCs w:val="24"/>
    </w:rPr>
  </w:style>
  <w:style w:type="paragraph" w:styleId="BodyText">
    <w:name w:val="Body Text"/>
    <w:basedOn w:val="Normal"/>
    <w:link w:val="BodyTextChar"/>
    <w:uiPriority w:val="1"/>
    <w:qFormat/>
    <w:rsid w:val="00845EE2"/>
    <w:pPr>
      <w:widowControl w:val="0"/>
      <w:ind w:left="146"/>
    </w:pPr>
    <w:rPr>
      <w:sz w:val="23"/>
      <w:szCs w:val="23"/>
    </w:rPr>
  </w:style>
  <w:style w:type="character" w:customStyle="1" w:styleId="BodyTextChar">
    <w:name w:val="Body Text Char"/>
    <w:basedOn w:val="DefaultParagraphFont"/>
    <w:link w:val="BodyText"/>
    <w:uiPriority w:val="1"/>
    <w:rsid w:val="00845EE2"/>
    <w:rPr>
      <w:sz w:val="23"/>
      <w:szCs w:val="23"/>
    </w:rPr>
  </w:style>
  <w:style w:type="paragraph" w:styleId="NormalWeb">
    <w:name w:val="Normal (Web)"/>
    <w:basedOn w:val="Normal"/>
    <w:semiHidden/>
    <w:rsid w:val="00845EE2"/>
    <w:pPr>
      <w:spacing w:before="100" w:beforeAutospacing="1" w:after="100" w:afterAutospacing="1"/>
    </w:pPr>
    <w:rPr>
      <w:rFonts w:ascii="Arial Unicode MS" w:eastAsia="Arial Unicode MS" w:hAnsi="Arial Unicode MS" w:cs="Arial Unicode MS"/>
      <w:noProof/>
      <w:szCs w:val="24"/>
    </w:rPr>
  </w:style>
  <w:style w:type="paragraph" w:styleId="DocumentMap">
    <w:name w:val="Document Map"/>
    <w:basedOn w:val="Normal"/>
    <w:link w:val="DocumentMapChar"/>
    <w:uiPriority w:val="99"/>
    <w:semiHidden/>
    <w:unhideWhenUsed/>
    <w:rsid w:val="006A3E6E"/>
    <w:rPr>
      <w:rFonts w:ascii="Helvetica" w:hAnsi="Helvetica"/>
      <w:szCs w:val="24"/>
    </w:rPr>
  </w:style>
  <w:style w:type="character" w:customStyle="1" w:styleId="DocumentMapChar">
    <w:name w:val="Document Map Char"/>
    <w:basedOn w:val="DefaultParagraphFont"/>
    <w:link w:val="DocumentMap"/>
    <w:uiPriority w:val="99"/>
    <w:semiHidden/>
    <w:rsid w:val="006A3E6E"/>
    <w:rPr>
      <w:rFonts w:ascii="Helvetica" w:hAnsi="Helvetica"/>
      <w:sz w:val="24"/>
      <w:szCs w:val="24"/>
    </w:rPr>
  </w:style>
  <w:style w:type="character" w:styleId="CommentReference">
    <w:name w:val="annotation reference"/>
    <w:basedOn w:val="DefaultParagraphFont"/>
    <w:uiPriority w:val="99"/>
    <w:semiHidden/>
    <w:unhideWhenUsed/>
    <w:rsid w:val="00B04A1D"/>
    <w:rPr>
      <w:sz w:val="16"/>
      <w:szCs w:val="16"/>
    </w:rPr>
  </w:style>
  <w:style w:type="paragraph" w:styleId="CommentText">
    <w:name w:val="annotation text"/>
    <w:basedOn w:val="Normal"/>
    <w:link w:val="CommentTextChar"/>
    <w:uiPriority w:val="99"/>
    <w:unhideWhenUsed/>
    <w:rsid w:val="00B04A1D"/>
    <w:rPr>
      <w:sz w:val="20"/>
    </w:rPr>
  </w:style>
  <w:style w:type="character" w:customStyle="1" w:styleId="CommentTextChar">
    <w:name w:val="Comment Text Char"/>
    <w:basedOn w:val="DefaultParagraphFont"/>
    <w:link w:val="CommentText"/>
    <w:uiPriority w:val="99"/>
    <w:rsid w:val="00B04A1D"/>
  </w:style>
  <w:style w:type="paragraph" w:styleId="CommentSubject">
    <w:name w:val="annotation subject"/>
    <w:basedOn w:val="CommentText"/>
    <w:next w:val="CommentText"/>
    <w:link w:val="CommentSubjectChar"/>
    <w:uiPriority w:val="99"/>
    <w:semiHidden/>
    <w:unhideWhenUsed/>
    <w:rsid w:val="00B04A1D"/>
    <w:rPr>
      <w:b/>
      <w:bCs/>
    </w:rPr>
  </w:style>
  <w:style w:type="character" w:customStyle="1" w:styleId="CommentSubjectChar">
    <w:name w:val="Comment Subject Char"/>
    <w:basedOn w:val="CommentTextChar"/>
    <w:link w:val="CommentSubject"/>
    <w:uiPriority w:val="99"/>
    <w:semiHidden/>
    <w:rsid w:val="00B04A1D"/>
    <w:rPr>
      <w:b/>
      <w:bCs/>
    </w:rPr>
  </w:style>
  <w:style w:type="paragraph" w:styleId="ListParagraph">
    <w:name w:val="List Paragraph"/>
    <w:basedOn w:val="Normal"/>
    <w:uiPriority w:val="34"/>
    <w:qFormat/>
    <w:rsid w:val="00B04A1D"/>
    <w:pPr>
      <w:ind w:left="720"/>
      <w:contextualSpacing/>
    </w:pPr>
  </w:style>
  <w:style w:type="paragraph" w:styleId="BalloonText">
    <w:name w:val="Balloon Text"/>
    <w:basedOn w:val="Normal"/>
    <w:link w:val="BalloonTextChar"/>
    <w:uiPriority w:val="99"/>
    <w:semiHidden/>
    <w:unhideWhenUsed/>
    <w:rsid w:val="006B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813"/>
    <w:rPr>
      <w:rFonts w:ascii="Lucida Grande" w:hAnsi="Lucida Grande" w:cs="Lucida Grande"/>
      <w:sz w:val="18"/>
      <w:szCs w:val="18"/>
    </w:rPr>
  </w:style>
  <w:style w:type="character" w:customStyle="1" w:styleId="xa-md-textchar">
    <w:name w:val="xa-md-textchar"/>
    <w:basedOn w:val="DefaultParagraphFont"/>
    <w:rsid w:val="00187B11"/>
  </w:style>
  <w:style w:type="character" w:customStyle="1" w:styleId="apple-converted-space">
    <w:name w:val="apple-converted-space"/>
    <w:basedOn w:val="DefaultParagraphFont"/>
    <w:rsid w:val="00187B11"/>
  </w:style>
  <w:style w:type="paragraph" w:styleId="Revision">
    <w:name w:val="Revision"/>
    <w:hidden/>
    <w:uiPriority w:val="99"/>
    <w:semiHidden/>
    <w:rsid w:val="00A348F3"/>
    <w:rPr>
      <w:sz w:val="24"/>
    </w:rPr>
  </w:style>
  <w:style w:type="paragraph" w:styleId="BlockText">
    <w:name w:val="Block Text"/>
    <w:basedOn w:val="Normal"/>
    <w:rsid w:val="00492DEE"/>
    <w:pPr>
      <w:spacing w:after="240"/>
      <w:ind w:left="4320" w:hanging="4320"/>
    </w:pPr>
    <w:rPr>
      <w:rFonts w:ascii="Verdana" w:eastAsia="Verdana" w:hAnsi="Verdana" w:cs="Verdana"/>
      <w:szCs w:val="24"/>
    </w:rPr>
  </w:style>
  <w:style w:type="character" w:customStyle="1" w:styleId="A-MD-textChar">
    <w:name w:val="A-MD-text Char"/>
    <w:rsid w:val="00492DEE"/>
    <w:rPr>
      <w:rFonts w:ascii="Verdana" w:eastAsia="Verdana" w:hAnsi="Verdana" w:cs="Verdana"/>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6216">
      <w:bodyDiv w:val="1"/>
      <w:marLeft w:val="0"/>
      <w:marRight w:val="0"/>
      <w:marTop w:val="0"/>
      <w:marBottom w:val="0"/>
      <w:divBdr>
        <w:top w:val="none" w:sz="0" w:space="0" w:color="auto"/>
        <w:left w:val="none" w:sz="0" w:space="0" w:color="auto"/>
        <w:bottom w:val="none" w:sz="0" w:space="0" w:color="auto"/>
        <w:right w:val="none" w:sz="0" w:space="0" w:color="auto"/>
      </w:divBdr>
    </w:div>
    <w:div w:id="609364220">
      <w:bodyDiv w:val="1"/>
      <w:marLeft w:val="0"/>
      <w:marRight w:val="0"/>
      <w:marTop w:val="0"/>
      <w:marBottom w:val="0"/>
      <w:divBdr>
        <w:top w:val="none" w:sz="0" w:space="0" w:color="auto"/>
        <w:left w:val="none" w:sz="0" w:space="0" w:color="auto"/>
        <w:bottom w:val="none" w:sz="0" w:space="0" w:color="auto"/>
        <w:right w:val="none" w:sz="0" w:space="0" w:color="auto"/>
      </w:divBdr>
    </w:div>
    <w:div w:id="683820798">
      <w:bodyDiv w:val="1"/>
      <w:marLeft w:val="0"/>
      <w:marRight w:val="0"/>
      <w:marTop w:val="0"/>
      <w:marBottom w:val="0"/>
      <w:divBdr>
        <w:top w:val="none" w:sz="0" w:space="0" w:color="auto"/>
        <w:left w:val="none" w:sz="0" w:space="0" w:color="auto"/>
        <w:bottom w:val="none" w:sz="0" w:space="0" w:color="auto"/>
        <w:right w:val="none" w:sz="0" w:space="0" w:color="auto"/>
      </w:divBdr>
    </w:div>
    <w:div w:id="805002799">
      <w:bodyDiv w:val="1"/>
      <w:marLeft w:val="0"/>
      <w:marRight w:val="0"/>
      <w:marTop w:val="0"/>
      <w:marBottom w:val="0"/>
      <w:divBdr>
        <w:top w:val="none" w:sz="0" w:space="0" w:color="auto"/>
        <w:left w:val="none" w:sz="0" w:space="0" w:color="auto"/>
        <w:bottom w:val="none" w:sz="0" w:space="0" w:color="auto"/>
        <w:right w:val="none" w:sz="0" w:space="0" w:color="auto"/>
      </w:divBdr>
    </w:div>
    <w:div w:id="1076827214">
      <w:bodyDiv w:val="1"/>
      <w:marLeft w:val="0"/>
      <w:marRight w:val="0"/>
      <w:marTop w:val="0"/>
      <w:marBottom w:val="0"/>
      <w:divBdr>
        <w:top w:val="none" w:sz="0" w:space="0" w:color="auto"/>
        <w:left w:val="none" w:sz="0" w:space="0" w:color="auto"/>
        <w:bottom w:val="none" w:sz="0" w:space="0" w:color="auto"/>
        <w:right w:val="none" w:sz="0" w:space="0" w:color="auto"/>
      </w:divBdr>
    </w:div>
    <w:div w:id="1597401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1604-9184-42E6-ABBB-AF60821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AFFORDABLE HOUSING AGREEMENT</vt:lpstr>
    </vt:vector>
  </TitlesOfParts>
  <Company>K&amp;B</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AGREEMENT</dc:title>
  <dc:creator>K&amp;B</dc:creator>
  <cp:lastModifiedBy>Susan Cohen</cp:lastModifiedBy>
  <cp:revision>6</cp:revision>
  <dcterms:created xsi:type="dcterms:W3CDTF">2021-12-01T14:06:00Z</dcterms:created>
  <dcterms:modified xsi:type="dcterms:W3CDTF">2021-12-01T19:13:00Z</dcterms:modified>
</cp:coreProperties>
</file>